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685B" w14:textId="20AD0A12" w:rsidR="00595AAB" w:rsidRPr="00102CBB" w:rsidRDefault="0052771E" w:rsidP="008C4C01">
      <w:pPr>
        <w:rPr>
          <w:rFonts w:ascii="BNPP Sans Light" w:hAnsi="BNPP Sans Light"/>
          <w:b/>
        </w:rPr>
      </w:pPr>
      <w:r w:rsidRPr="00102CBB">
        <w:rPr>
          <w:rFonts w:ascii="BNPP Sans Light" w:hAnsi="BNPP Sans Light"/>
          <w:b/>
        </w:rPr>
        <w:t>Brussel</w:t>
      </w:r>
      <w:r w:rsidR="007B6615" w:rsidRPr="00102CBB">
        <w:rPr>
          <w:rFonts w:ascii="BNPP Sans Light" w:hAnsi="BNPP Sans Light"/>
          <w:b/>
        </w:rPr>
        <w:t xml:space="preserve">, </w:t>
      </w:r>
      <w:r w:rsidR="00102CBB">
        <w:rPr>
          <w:rFonts w:ascii="BNPP Sans Light" w:hAnsi="BNPP Sans Light"/>
          <w:b/>
        </w:rPr>
        <w:t xml:space="preserve">6 </w:t>
      </w:r>
      <w:proofErr w:type="spellStart"/>
      <w:r w:rsidR="00102CBB">
        <w:rPr>
          <w:rFonts w:ascii="BNPP Sans Light" w:hAnsi="BNPP Sans Light"/>
          <w:b/>
        </w:rPr>
        <w:t>juli</w:t>
      </w:r>
      <w:proofErr w:type="spellEnd"/>
      <w:r w:rsidR="000C6576" w:rsidRPr="00102CBB">
        <w:rPr>
          <w:rFonts w:ascii="BNPP Sans Light" w:hAnsi="BNPP Sans Light"/>
          <w:b/>
        </w:rPr>
        <w:t xml:space="preserve"> </w:t>
      </w:r>
      <w:r w:rsidR="007D12B7" w:rsidRPr="00102CBB">
        <w:rPr>
          <w:rFonts w:ascii="BNPP Sans Light" w:hAnsi="BNPP Sans Light"/>
          <w:b/>
        </w:rPr>
        <w:t>20</w:t>
      </w:r>
      <w:r w:rsidR="003075ED" w:rsidRPr="00102CBB">
        <w:rPr>
          <w:rFonts w:ascii="BNPP Sans Light" w:hAnsi="BNPP Sans Light"/>
          <w:b/>
        </w:rPr>
        <w:t>2</w:t>
      </w:r>
      <w:r w:rsidR="009E745A" w:rsidRPr="00102CBB">
        <w:rPr>
          <w:rFonts w:ascii="BNPP Sans Light" w:hAnsi="BNPP Sans Light"/>
          <w:b/>
        </w:rPr>
        <w:t>3</w:t>
      </w:r>
    </w:p>
    <w:p w14:paraId="1CD923A2" w14:textId="77777777" w:rsidR="00595AAB" w:rsidRDefault="00595AAB" w:rsidP="008C4C01"/>
    <w:p w14:paraId="5138B6A6" w14:textId="77777777" w:rsidR="00B138C5" w:rsidRDefault="00991878" w:rsidP="008C4C01">
      <w:r>
        <w:rPr>
          <w:noProof/>
          <w:lang w:val="en-GB" w:eastAsia="en-GB"/>
        </w:rPr>
        <mc:AlternateContent>
          <mc:Choice Requires="wps">
            <w:drawing>
              <wp:inline distT="0" distB="0" distL="0" distR="0" wp14:anchorId="20893E00" wp14:editId="4C1C4E4E">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B17B5" w14:textId="77777777" w:rsidR="00991878" w:rsidRDefault="00500A0B" w:rsidP="008C4C01">
                            <w:pPr>
                              <w:pStyle w:val="Subtitle"/>
                            </w:pPr>
                            <w:r>
                              <w:t>PERSBERICHT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0893E00"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" fillcolor="#00a76c [3204]" stroked="f" strokeweight=".25pt">
                <v:textbox inset="0,0,0,0">
                  <w:txbxContent>
                    <w:p w14:paraId="310B17B5" w14:textId="77777777" w:rsidR="00991878" w:rsidRDefault="00500A0B" w:rsidP="008C4C01">
                      <w:pPr>
                        <w:pStyle w:val="Subtitle"/>
                      </w:pPr>
                      <w:r>
                        <w:t>PERSBERICHT</w:t>
                      </w:r>
                    </w:p>
                  </w:txbxContent>
                </v:textbox>
                <w10:anchorlock/>
              </v:rect>
            </w:pict>
          </mc:Fallback>
        </mc:AlternateContent>
      </w:r>
    </w:p>
    <w:p w14:paraId="09DE78F0" w14:textId="77777777" w:rsidR="007D12B7" w:rsidRDefault="007D12B7" w:rsidP="00A654D0">
      <w:pPr>
        <w:autoSpaceDE w:val="0"/>
        <w:autoSpaceDN w:val="0"/>
        <w:adjustRightInd w:val="0"/>
        <w:spacing w:line="240" w:lineRule="auto"/>
        <w:rPr>
          <w:rFonts w:ascii="BNPP Sans" w:eastAsiaTheme="majorEastAsia" w:hAnsi="BNPP Sans" w:cstheme="majorBidi"/>
          <w:b/>
          <w:caps/>
          <w:spacing w:val="5"/>
          <w:kern w:val="28"/>
          <w:sz w:val="36"/>
          <w:szCs w:val="36"/>
          <w:lang w:val="en-US"/>
        </w:rPr>
      </w:pPr>
    </w:p>
    <w:p w14:paraId="5C3083BC" w14:textId="2A9BD67A" w:rsidR="007D12B7" w:rsidRPr="00102CBB" w:rsidRDefault="00FC08EA" w:rsidP="004C3617">
      <w:pPr>
        <w:autoSpaceDE w:val="0"/>
        <w:autoSpaceDN w:val="0"/>
        <w:adjustRightInd w:val="0"/>
        <w:spacing w:line="240" w:lineRule="auto"/>
        <w:jc w:val="center"/>
        <w:rPr>
          <w:rFonts w:ascii="BNPP Sans" w:eastAsiaTheme="majorEastAsia" w:hAnsi="BNPP Sans" w:cstheme="majorBidi"/>
          <w:b/>
          <w:caps/>
          <w:spacing w:val="5"/>
          <w:kern w:val="28"/>
          <w:sz w:val="36"/>
          <w:szCs w:val="36"/>
          <w:lang w:val="nl-BE"/>
        </w:rPr>
      </w:pPr>
      <w:r w:rsidRPr="007B4E8E">
        <w:rPr>
          <w:rFonts w:ascii="BNPP Sans" w:eastAsiaTheme="majorEastAsia" w:hAnsi="BNPP Sans" w:cstheme="majorBidi"/>
          <w:b/>
          <w:spacing w:val="5"/>
          <w:kern w:val="28"/>
          <w:sz w:val="36"/>
          <w:szCs w:val="36"/>
          <w:lang w:val="nl-BE"/>
        </w:rPr>
        <w:t xml:space="preserve">TWEEDE VERBLIJF BLIJFT </w:t>
      </w:r>
      <w:r>
        <w:rPr>
          <w:rFonts w:ascii="BNPP Sans" w:eastAsiaTheme="majorEastAsia" w:hAnsi="BNPP Sans" w:cstheme="majorBidi"/>
          <w:b/>
          <w:spacing w:val="5"/>
          <w:kern w:val="28"/>
          <w:sz w:val="36"/>
          <w:szCs w:val="36"/>
          <w:lang w:val="nl-BE"/>
        </w:rPr>
        <w:t>AANTREKKELIJKE</w:t>
      </w:r>
      <w:r w:rsidRPr="007B4E8E">
        <w:rPr>
          <w:rFonts w:ascii="BNPP Sans" w:eastAsiaTheme="majorEastAsia" w:hAnsi="BNPP Sans" w:cstheme="majorBidi"/>
          <w:b/>
          <w:spacing w:val="5"/>
          <w:kern w:val="28"/>
          <w:sz w:val="36"/>
          <w:szCs w:val="36"/>
          <w:lang w:val="nl-BE"/>
        </w:rPr>
        <w:t xml:space="preserve"> BELEGGING</w:t>
      </w:r>
    </w:p>
    <w:p w14:paraId="6D8093FE" w14:textId="77777777" w:rsidR="004C3617" w:rsidRPr="004C3617" w:rsidRDefault="004C3617" w:rsidP="004C3617">
      <w:pPr>
        <w:autoSpaceDE w:val="0"/>
        <w:autoSpaceDN w:val="0"/>
        <w:adjustRightInd w:val="0"/>
        <w:spacing w:line="240" w:lineRule="auto"/>
        <w:jc w:val="center"/>
        <w:rPr>
          <w:rFonts w:ascii="BNPP Sans Light" w:eastAsiaTheme="majorEastAsia" w:hAnsi="BNPP Sans Light" w:cstheme="majorBidi"/>
          <w:b/>
          <w:caps/>
          <w:spacing w:val="5"/>
          <w:kern w:val="28"/>
          <w:sz w:val="36"/>
          <w:szCs w:val="36"/>
          <w:lang w:val="nl-BE"/>
        </w:rPr>
      </w:pPr>
    </w:p>
    <w:p w14:paraId="153090DD" w14:textId="2E500BFA" w:rsidR="004C3617" w:rsidRPr="00102CBB" w:rsidRDefault="00495BDF" w:rsidP="007D12B7">
      <w:pPr>
        <w:autoSpaceDE w:val="0"/>
        <w:autoSpaceDN w:val="0"/>
        <w:adjustRightInd w:val="0"/>
        <w:rPr>
          <w:rFonts w:ascii="BNPP Sans Light" w:hAnsi="BNPP Sans Light" w:cs="Arial"/>
          <w:b/>
          <w:bCs/>
          <w:i/>
          <w:szCs w:val="24"/>
          <w:lang w:val="nl-BE"/>
        </w:rPr>
      </w:pPr>
      <w:r w:rsidRPr="00102CBB">
        <w:rPr>
          <w:rFonts w:ascii="BNPP Sans Light" w:hAnsi="BNPP Sans Light" w:cs="Arial"/>
          <w:b/>
          <w:bCs/>
          <w:i/>
          <w:szCs w:val="24"/>
          <w:lang w:val="nl-BE"/>
        </w:rPr>
        <w:t>Ondanks de</w:t>
      </w:r>
      <w:r w:rsidR="004F2517" w:rsidRPr="00102CBB">
        <w:rPr>
          <w:rFonts w:ascii="BNPP Sans Light" w:hAnsi="BNPP Sans Light" w:cs="Arial"/>
          <w:b/>
          <w:bCs/>
          <w:i/>
          <w:szCs w:val="24"/>
          <w:lang w:val="nl-BE"/>
        </w:rPr>
        <w:t xml:space="preserve"> hoge levensduurte</w:t>
      </w:r>
      <w:r w:rsidR="0082296B" w:rsidRPr="00102CBB">
        <w:rPr>
          <w:rFonts w:ascii="BNPP Sans Light" w:hAnsi="BNPP Sans Light" w:cs="Arial"/>
          <w:b/>
          <w:bCs/>
          <w:i/>
          <w:szCs w:val="24"/>
          <w:lang w:val="nl-BE"/>
        </w:rPr>
        <w:t xml:space="preserve"> in 2022</w:t>
      </w:r>
      <w:r w:rsidR="004F2517" w:rsidRPr="00102CBB">
        <w:rPr>
          <w:rFonts w:ascii="BNPP Sans Light" w:hAnsi="BNPP Sans Light" w:cs="Arial"/>
          <w:b/>
          <w:bCs/>
          <w:i/>
          <w:szCs w:val="24"/>
          <w:lang w:val="nl-BE"/>
        </w:rPr>
        <w:t xml:space="preserve"> door de</w:t>
      </w:r>
      <w:r w:rsidRPr="00102CBB">
        <w:rPr>
          <w:rFonts w:ascii="BNPP Sans Light" w:hAnsi="BNPP Sans Light" w:cs="Arial"/>
          <w:b/>
          <w:bCs/>
          <w:i/>
          <w:szCs w:val="24"/>
          <w:lang w:val="nl-BE"/>
        </w:rPr>
        <w:t xml:space="preserve"> energiecrisis en de</w:t>
      </w:r>
      <w:r w:rsidR="004F2517" w:rsidRPr="00102CBB">
        <w:rPr>
          <w:rFonts w:ascii="BNPP Sans Light" w:hAnsi="BNPP Sans Light" w:cs="Arial"/>
          <w:b/>
          <w:bCs/>
          <w:i/>
          <w:szCs w:val="24"/>
          <w:lang w:val="nl-BE"/>
        </w:rPr>
        <w:t xml:space="preserve"> stijgende inflatie</w:t>
      </w:r>
      <w:r w:rsidRPr="00102CBB">
        <w:rPr>
          <w:rFonts w:ascii="BNPP Sans Light" w:hAnsi="BNPP Sans Light" w:cs="Arial"/>
          <w:b/>
          <w:bCs/>
          <w:i/>
          <w:szCs w:val="24"/>
          <w:lang w:val="nl-BE"/>
        </w:rPr>
        <w:t xml:space="preserve"> </w:t>
      </w:r>
      <w:r w:rsidR="004C3617" w:rsidRPr="00102CBB">
        <w:rPr>
          <w:rFonts w:ascii="BNPP Sans Light" w:hAnsi="BNPP Sans Light" w:cs="Arial"/>
          <w:b/>
          <w:bCs/>
          <w:i/>
          <w:szCs w:val="24"/>
          <w:lang w:val="nl-BE"/>
        </w:rPr>
        <w:t xml:space="preserve">zagen </w:t>
      </w:r>
      <w:r w:rsidR="004C6E91" w:rsidRPr="00102CBB">
        <w:rPr>
          <w:rFonts w:ascii="BNPP Sans Light" w:hAnsi="BNPP Sans Light" w:cs="Arial"/>
          <w:b/>
          <w:bCs/>
          <w:i/>
          <w:szCs w:val="24"/>
          <w:lang w:val="nl-BE"/>
        </w:rPr>
        <w:t>de Belgen</w:t>
      </w:r>
      <w:r w:rsidR="0082296B" w:rsidRPr="00102CBB">
        <w:rPr>
          <w:rFonts w:ascii="BNPP Sans Light" w:hAnsi="BNPP Sans Light" w:cs="Arial"/>
          <w:b/>
          <w:bCs/>
          <w:i/>
          <w:szCs w:val="24"/>
          <w:lang w:val="nl-BE"/>
        </w:rPr>
        <w:t xml:space="preserve"> </w:t>
      </w:r>
      <w:r w:rsidR="004C3617" w:rsidRPr="00102CBB">
        <w:rPr>
          <w:rFonts w:ascii="BNPP Sans Light" w:hAnsi="BNPP Sans Light" w:cs="Arial"/>
          <w:b/>
          <w:bCs/>
          <w:i/>
          <w:szCs w:val="24"/>
          <w:lang w:val="nl-BE"/>
        </w:rPr>
        <w:t>in een tweede verblijf</w:t>
      </w:r>
      <w:r w:rsidR="004C6E91" w:rsidRPr="00102CBB">
        <w:rPr>
          <w:rFonts w:ascii="BNPP Sans Light" w:hAnsi="BNPP Sans Light" w:cs="Arial"/>
          <w:b/>
          <w:bCs/>
          <w:i/>
          <w:szCs w:val="24"/>
          <w:lang w:val="nl-BE"/>
        </w:rPr>
        <w:t xml:space="preserve"> nog altijd</w:t>
      </w:r>
      <w:r w:rsidR="004C3617" w:rsidRPr="00102CBB">
        <w:rPr>
          <w:rFonts w:ascii="BNPP Sans Light" w:hAnsi="BNPP Sans Light" w:cs="Arial"/>
          <w:b/>
          <w:bCs/>
          <w:i/>
          <w:szCs w:val="24"/>
          <w:lang w:val="nl-BE"/>
        </w:rPr>
        <w:t xml:space="preserve"> een interessante investeringsopportuniteit. Terwijl de </w:t>
      </w:r>
      <w:r w:rsidR="0080226D" w:rsidRPr="00102CBB">
        <w:rPr>
          <w:rFonts w:ascii="BNPP Sans Light" w:hAnsi="BNPP Sans Light" w:cs="Arial"/>
          <w:b/>
          <w:bCs/>
          <w:i/>
          <w:szCs w:val="24"/>
          <w:lang w:val="nl-BE"/>
        </w:rPr>
        <w:t xml:space="preserve">hoofdmoot van de </w:t>
      </w:r>
      <w:r w:rsidR="004C3617" w:rsidRPr="00102CBB">
        <w:rPr>
          <w:rFonts w:ascii="BNPP Sans Light" w:hAnsi="BNPP Sans Light" w:cs="Arial"/>
          <w:b/>
          <w:bCs/>
          <w:i/>
          <w:szCs w:val="24"/>
          <w:lang w:val="nl-BE"/>
        </w:rPr>
        <w:t xml:space="preserve">tweede verblijven in België bestemd </w:t>
      </w:r>
      <w:r w:rsidR="0045188B">
        <w:rPr>
          <w:rFonts w:ascii="BNPP Sans Light" w:hAnsi="BNPP Sans Light" w:cs="Arial"/>
          <w:b/>
          <w:bCs/>
          <w:i/>
          <w:szCs w:val="24"/>
          <w:lang w:val="nl-BE"/>
        </w:rPr>
        <w:t>waren</w:t>
      </w:r>
      <w:r w:rsidR="004C3617" w:rsidRPr="00102CBB">
        <w:rPr>
          <w:rFonts w:ascii="BNPP Sans Light" w:hAnsi="BNPP Sans Light" w:cs="Arial"/>
          <w:b/>
          <w:bCs/>
          <w:i/>
          <w:szCs w:val="24"/>
          <w:lang w:val="nl-BE"/>
        </w:rPr>
        <w:t xml:space="preserve"> voor verhuur, zien we </w:t>
      </w:r>
      <w:r w:rsidR="0080226D" w:rsidRPr="00102CBB">
        <w:rPr>
          <w:rFonts w:ascii="BNPP Sans Light" w:hAnsi="BNPP Sans Light" w:cs="Arial"/>
          <w:b/>
          <w:bCs/>
          <w:i/>
          <w:szCs w:val="24"/>
          <w:lang w:val="nl-BE"/>
        </w:rPr>
        <w:t>daarvoor de laatste jaren</w:t>
      </w:r>
      <w:r w:rsidR="004C3617" w:rsidRPr="00102CBB">
        <w:rPr>
          <w:rFonts w:ascii="BNPP Sans Light" w:hAnsi="BNPP Sans Light" w:cs="Arial"/>
          <w:b/>
          <w:bCs/>
          <w:i/>
          <w:szCs w:val="24"/>
          <w:lang w:val="nl-BE"/>
        </w:rPr>
        <w:t xml:space="preserve"> ook een toename bij buitenlandse panden. Aan de Belgische kust normaliseerden de cijfers na een uitzonderlijk 2021, terwijl het aandeel van de Ardennen wat kredieten voor tweede verblijven betreft, op 2 jaar tijd verdubbelde. Dat blijkt uit de jaarlijkse ‘Barometer van de</w:t>
      </w:r>
      <w:r w:rsidR="0080226D" w:rsidRPr="00102CBB">
        <w:rPr>
          <w:rFonts w:ascii="BNPP Sans Light" w:hAnsi="BNPP Sans Light" w:cs="Arial"/>
          <w:b/>
          <w:bCs/>
          <w:i/>
          <w:szCs w:val="24"/>
          <w:lang w:val="nl-BE"/>
        </w:rPr>
        <w:t xml:space="preserve"> </w:t>
      </w:r>
      <w:r w:rsidR="004C3617" w:rsidRPr="00102CBB">
        <w:rPr>
          <w:rFonts w:ascii="BNPP Sans Light" w:hAnsi="BNPP Sans Light" w:cs="Arial"/>
          <w:b/>
          <w:bCs/>
          <w:i/>
          <w:szCs w:val="24"/>
          <w:lang w:val="nl-BE"/>
        </w:rPr>
        <w:t xml:space="preserve">Tweede Verblijven’ van BNP Paribas Fortis. </w:t>
      </w:r>
    </w:p>
    <w:p w14:paraId="4A119B8D" w14:textId="77777777" w:rsidR="00EB5CD3" w:rsidRPr="00273C7A" w:rsidRDefault="00EB5CD3" w:rsidP="00EB5CD3">
      <w:pPr>
        <w:rPr>
          <w:rFonts w:ascii="BNPP Sans Light" w:hAnsi="BNPP Sans Light"/>
          <w:lang w:val="nl-BE"/>
        </w:rPr>
      </w:pPr>
    </w:p>
    <w:p w14:paraId="0564B234" w14:textId="15CC81EF" w:rsidR="00561094" w:rsidRDefault="007B4E8E" w:rsidP="00EB5CD3">
      <w:pPr>
        <w:rPr>
          <w:rFonts w:ascii="BNPP Sans Light" w:hAnsi="BNPP Sans Light"/>
          <w:lang w:val="nl-BE"/>
        </w:rPr>
      </w:pPr>
      <w:r w:rsidRPr="007B4E8E">
        <w:rPr>
          <w:rFonts w:ascii="BNPP Sans Light" w:hAnsi="BNPP Sans Light"/>
          <w:lang w:val="nl-BE"/>
        </w:rPr>
        <w:t xml:space="preserve">Elk jaar neemt het aantal Belgische </w:t>
      </w:r>
      <w:proofErr w:type="spellStart"/>
      <w:r w:rsidRPr="007B4E8E">
        <w:rPr>
          <w:rFonts w:ascii="BNPP Sans Light" w:hAnsi="BNPP Sans Light"/>
          <w:lang w:val="nl-BE"/>
        </w:rPr>
        <w:t>multi</w:t>
      </w:r>
      <w:proofErr w:type="spellEnd"/>
      <w:r w:rsidRPr="007B4E8E">
        <w:rPr>
          <w:rFonts w:ascii="BNPP Sans Light" w:hAnsi="BNPP Sans Light"/>
          <w:lang w:val="nl-BE"/>
        </w:rPr>
        <w:t>-eigenaars toe, zowel in België als in het buitenland, waar de stijging razendsnel verloopt.</w:t>
      </w:r>
      <w:r>
        <w:rPr>
          <w:rFonts w:ascii="BNPP Sans Light" w:hAnsi="BNPP Sans Light"/>
          <w:lang w:val="nl-BE"/>
        </w:rPr>
        <w:t xml:space="preserve"> </w:t>
      </w:r>
      <w:r w:rsidR="00102CBB">
        <w:rPr>
          <w:rFonts w:ascii="BNPP Sans Light" w:hAnsi="BNPP Sans Light"/>
          <w:lang w:val="nl-BE"/>
        </w:rPr>
        <w:t>In 2022 ging het om zo’n 1,</w:t>
      </w:r>
      <w:r w:rsidR="0045188B">
        <w:rPr>
          <w:rFonts w:ascii="BNPP Sans Light" w:hAnsi="BNPP Sans Light"/>
          <w:lang w:val="nl-BE"/>
        </w:rPr>
        <w:t>1</w:t>
      </w:r>
      <w:r w:rsidR="00102CBB">
        <w:rPr>
          <w:rFonts w:ascii="BNPP Sans Light" w:hAnsi="BNPP Sans Light"/>
          <w:lang w:val="nl-BE"/>
        </w:rPr>
        <w:t>9</w:t>
      </w:r>
      <w:r w:rsidR="00102CBB" w:rsidRPr="0045188B">
        <w:rPr>
          <w:lang w:val="nl-BE"/>
        </w:rPr>
        <w:t xml:space="preserve"> </w:t>
      </w:r>
      <w:r w:rsidR="00102CBB">
        <w:rPr>
          <w:rFonts w:ascii="BNPP Sans Light" w:hAnsi="BNPP Sans Light"/>
          <w:lang w:val="nl-BE"/>
        </w:rPr>
        <w:t>miljoen</w:t>
      </w:r>
      <w:r w:rsidR="00102CBB">
        <w:rPr>
          <w:rStyle w:val="FootnoteReference"/>
          <w:rFonts w:ascii="BNPP Sans Light" w:hAnsi="BNPP Sans Light"/>
          <w:lang w:val="nl-BE"/>
        </w:rPr>
        <w:footnoteReference w:id="1"/>
      </w:r>
      <w:r w:rsidR="00102CBB">
        <w:rPr>
          <w:rFonts w:ascii="BNPP Sans Light" w:hAnsi="BNPP Sans Light"/>
          <w:lang w:val="nl-BE"/>
        </w:rPr>
        <w:t xml:space="preserve"> Belgen. </w:t>
      </w:r>
      <w:r w:rsidR="0011673F" w:rsidRPr="0011673F">
        <w:rPr>
          <w:rFonts w:ascii="BNPP Sans Light" w:hAnsi="BNPP Sans Light"/>
          <w:lang w:val="nl-BE"/>
        </w:rPr>
        <w:t>Zowat 1 hypothecair krediet op 3</w:t>
      </w:r>
      <w:r w:rsidR="0045188B">
        <w:rPr>
          <w:rFonts w:ascii="BNPP Sans Light" w:hAnsi="BNPP Sans Light"/>
          <w:lang w:val="nl-BE"/>
        </w:rPr>
        <w:t xml:space="preserve"> </w:t>
      </w:r>
      <w:r w:rsidR="0011673F" w:rsidRPr="0011673F">
        <w:rPr>
          <w:rFonts w:ascii="BNPP Sans Light" w:hAnsi="BNPP Sans Light"/>
          <w:lang w:val="nl-BE"/>
        </w:rPr>
        <w:t>(28%) b</w:t>
      </w:r>
      <w:r w:rsidR="0011673F">
        <w:rPr>
          <w:rFonts w:ascii="BNPP Sans Light" w:hAnsi="BNPP Sans Light"/>
          <w:lang w:val="nl-BE"/>
        </w:rPr>
        <w:t xml:space="preserve">ij BNP Paribas Fortis was in 2022 bestemd voor </w:t>
      </w:r>
      <w:r w:rsidR="00561094">
        <w:rPr>
          <w:rFonts w:ascii="BNPP Sans Light" w:hAnsi="BNPP Sans Light"/>
          <w:lang w:val="nl-BE"/>
        </w:rPr>
        <w:t>de aankoop van een tweede verblijf. Die verhouding is dezelfde als een jaar eerder, wetende dat het aantal dossiers voor tweede verblijven bij de bank wel gedaald is met 9%. In de periode 2018 tot 2022 groeide dat aantal dossiers wel met ruim 7%</w:t>
      </w:r>
      <w:r w:rsidR="0080226D">
        <w:rPr>
          <w:rFonts w:ascii="BNPP Sans Light" w:hAnsi="BNPP Sans Light"/>
          <w:lang w:val="nl-BE"/>
        </w:rPr>
        <w:t xml:space="preserve">, wat erop wijst dat tweede verblijven </w:t>
      </w:r>
      <w:r w:rsidR="004C6E91">
        <w:rPr>
          <w:rFonts w:ascii="BNPP Sans Light" w:hAnsi="BNPP Sans Light"/>
          <w:lang w:val="nl-BE"/>
        </w:rPr>
        <w:t xml:space="preserve">nog steeds </w:t>
      </w:r>
      <w:r w:rsidR="0080226D">
        <w:rPr>
          <w:rFonts w:ascii="BNPP Sans Light" w:hAnsi="BNPP Sans Light"/>
          <w:lang w:val="nl-BE"/>
        </w:rPr>
        <w:t xml:space="preserve">als een </w:t>
      </w:r>
      <w:r w:rsidR="0080226D" w:rsidRPr="0080226D">
        <w:rPr>
          <w:rFonts w:ascii="BNPP Sans Light" w:hAnsi="BNPP Sans Light"/>
          <w:b/>
          <w:bCs/>
          <w:lang w:val="nl-BE"/>
        </w:rPr>
        <w:t>valabel</w:t>
      </w:r>
      <w:r w:rsidR="004C6E91">
        <w:rPr>
          <w:rFonts w:ascii="BNPP Sans Light" w:hAnsi="BNPP Sans Light"/>
          <w:b/>
          <w:bCs/>
          <w:lang w:val="nl-BE"/>
        </w:rPr>
        <w:t xml:space="preserve">e belegging </w:t>
      </w:r>
      <w:r w:rsidR="0080226D">
        <w:rPr>
          <w:rFonts w:ascii="BNPP Sans Light" w:hAnsi="BNPP Sans Light"/>
          <w:lang w:val="nl-BE"/>
        </w:rPr>
        <w:t xml:space="preserve">aangezien worden. </w:t>
      </w:r>
    </w:p>
    <w:p w14:paraId="5FC87827" w14:textId="77777777" w:rsidR="00561094" w:rsidRDefault="00561094" w:rsidP="00EB5CD3">
      <w:pPr>
        <w:rPr>
          <w:rFonts w:ascii="BNPP Sans Light" w:hAnsi="BNPP Sans Light"/>
          <w:lang w:val="nl-BE"/>
        </w:rPr>
      </w:pPr>
    </w:p>
    <w:p w14:paraId="4ECAA1EA" w14:textId="3630FB0D" w:rsidR="00102CBB" w:rsidRDefault="00561094" w:rsidP="00EB5CD3">
      <w:pPr>
        <w:rPr>
          <w:rFonts w:ascii="BNPP Sans Light" w:hAnsi="BNPP Sans Light"/>
          <w:lang w:val="nl-BE"/>
        </w:rPr>
      </w:pPr>
      <w:r>
        <w:rPr>
          <w:rFonts w:ascii="BNPP Sans Light" w:hAnsi="BNPP Sans Light"/>
          <w:lang w:val="nl-BE"/>
        </w:rPr>
        <w:t xml:space="preserve">Het </w:t>
      </w:r>
      <w:r w:rsidRPr="0080226D">
        <w:rPr>
          <w:rFonts w:ascii="BNPP Sans Light" w:hAnsi="BNPP Sans Light"/>
          <w:b/>
          <w:bCs/>
          <w:lang w:val="nl-BE"/>
        </w:rPr>
        <w:t>gemiddeld ontleend bedrag voor een tweede woning</w:t>
      </w:r>
      <w:r>
        <w:rPr>
          <w:rFonts w:ascii="BNPP Sans Light" w:hAnsi="BNPP Sans Light"/>
          <w:lang w:val="nl-BE"/>
        </w:rPr>
        <w:t xml:space="preserve"> </w:t>
      </w:r>
      <w:r w:rsidR="0080226D">
        <w:rPr>
          <w:rFonts w:ascii="BNPP Sans Light" w:hAnsi="BNPP Sans Light"/>
          <w:lang w:val="nl-BE"/>
        </w:rPr>
        <w:t xml:space="preserve">is al jaren in stijgende lijn. In 2022 kwam dat op 236.700 euro, een </w:t>
      </w:r>
      <w:r w:rsidR="00102CBB">
        <w:rPr>
          <w:rFonts w:ascii="BNPP Sans Light" w:hAnsi="BNPP Sans Light"/>
          <w:lang w:val="nl-BE"/>
        </w:rPr>
        <w:t>verhoging</w:t>
      </w:r>
      <w:r w:rsidR="0080226D">
        <w:rPr>
          <w:rFonts w:ascii="BNPP Sans Light" w:hAnsi="BNPP Sans Light"/>
          <w:lang w:val="nl-BE"/>
        </w:rPr>
        <w:t xml:space="preserve"> met 7% ten opzichte van een jaar eerder en zelfs met 19% tegenover 2018. </w:t>
      </w:r>
      <w:r w:rsidR="00102CBB">
        <w:rPr>
          <w:rFonts w:ascii="BNPP Sans Light" w:hAnsi="BNPP Sans Light"/>
          <w:lang w:val="nl-BE"/>
        </w:rPr>
        <w:t xml:space="preserve">Het bedrag komt overeen met dat dat in 2022 gemiddeld werd geleend bij BNP Paribas Fortis voor een aankoop (235.000 euro). </w:t>
      </w:r>
    </w:p>
    <w:p w14:paraId="15034413" w14:textId="39574746" w:rsidR="00561094" w:rsidRDefault="00561094" w:rsidP="00EB5CD3">
      <w:pPr>
        <w:rPr>
          <w:rFonts w:ascii="BNPP Sans Light" w:hAnsi="BNPP Sans Light"/>
          <w:lang w:val="nl-BE"/>
        </w:rPr>
      </w:pPr>
    </w:p>
    <w:p w14:paraId="64560F03" w14:textId="4D5B1298" w:rsidR="00561094" w:rsidRDefault="0080226D" w:rsidP="00EB5CD3">
      <w:pPr>
        <w:rPr>
          <w:rFonts w:ascii="BNPP Sans Light" w:hAnsi="BNPP Sans Light"/>
          <w:lang w:val="nl-BE"/>
        </w:rPr>
      </w:pPr>
      <w:r>
        <w:rPr>
          <w:rFonts w:ascii="BNPP Sans Light" w:hAnsi="BNPP Sans Light"/>
          <w:b/>
          <w:bCs/>
          <w:lang w:val="nl-BE"/>
        </w:rPr>
        <w:t>België: constante groei in de Ardennen</w:t>
      </w:r>
    </w:p>
    <w:p w14:paraId="37E43163" w14:textId="3A908AF7" w:rsidR="00561094" w:rsidRDefault="00561094" w:rsidP="00EB5CD3">
      <w:pPr>
        <w:rPr>
          <w:rFonts w:ascii="BNPP Sans Light" w:hAnsi="BNPP Sans Light"/>
          <w:lang w:val="nl-BE"/>
        </w:rPr>
      </w:pPr>
      <w:r>
        <w:rPr>
          <w:rFonts w:ascii="BNPP Sans Light" w:hAnsi="BNPP Sans Light"/>
          <w:lang w:val="nl-BE"/>
        </w:rPr>
        <w:t xml:space="preserve">Net als de jaren voordien waren in 2022 meer dan 9 op 10 </w:t>
      </w:r>
      <w:r w:rsidR="00495BDF">
        <w:rPr>
          <w:rFonts w:ascii="BNPP Sans Light" w:hAnsi="BNPP Sans Light"/>
          <w:lang w:val="nl-BE"/>
        </w:rPr>
        <w:t>kredieten</w:t>
      </w:r>
      <w:r>
        <w:rPr>
          <w:rFonts w:ascii="BNPP Sans Light" w:hAnsi="BNPP Sans Light"/>
          <w:lang w:val="nl-BE"/>
        </w:rPr>
        <w:t xml:space="preserve"> voor tweede verblijven bestemd voor een aankoop in België (93%). Een kwart (26%) daarvan diende voor de financiering van een appartement, terwijl een ruime meerderheid van die </w:t>
      </w:r>
      <w:r w:rsidR="00495BDF">
        <w:rPr>
          <w:rFonts w:ascii="BNPP Sans Light" w:hAnsi="BNPP Sans Light"/>
          <w:lang w:val="nl-BE"/>
        </w:rPr>
        <w:t>krediet</w:t>
      </w:r>
      <w:r>
        <w:rPr>
          <w:rFonts w:ascii="BNPP Sans Light" w:hAnsi="BNPP Sans Light"/>
          <w:lang w:val="nl-BE"/>
        </w:rPr>
        <w:t>en de aankoop van een huis als doel had (6</w:t>
      </w:r>
      <w:r w:rsidR="00A92F86">
        <w:rPr>
          <w:rFonts w:ascii="BNPP Sans Light" w:hAnsi="BNPP Sans Light"/>
          <w:lang w:val="nl-BE"/>
        </w:rPr>
        <w:t>8</w:t>
      </w:r>
      <w:r>
        <w:rPr>
          <w:rFonts w:ascii="BNPP Sans Light" w:hAnsi="BNPP Sans Light"/>
          <w:lang w:val="nl-BE"/>
        </w:rPr>
        <w:t xml:space="preserve">%). </w:t>
      </w:r>
    </w:p>
    <w:p w14:paraId="481848D9" w14:textId="66AF8B8A" w:rsidR="00561094" w:rsidRDefault="00561094" w:rsidP="00EB5CD3">
      <w:pPr>
        <w:rPr>
          <w:rFonts w:ascii="BNPP Sans Light" w:hAnsi="BNPP Sans Light"/>
          <w:lang w:val="nl-BE"/>
        </w:rPr>
      </w:pPr>
    </w:p>
    <w:p w14:paraId="295DFCDA" w14:textId="76F0BC61" w:rsidR="0080226D" w:rsidRDefault="00C34B17" w:rsidP="00EB5CD3">
      <w:pPr>
        <w:rPr>
          <w:rFonts w:ascii="BNPP Sans Light" w:hAnsi="BNPP Sans Light"/>
          <w:lang w:val="nl-BE"/>
        </w:rPr>
      </w:pPr>
      <w:r>
        <w:rPr>
          <w:rFonts w:ascii="BNPP Sans Light" w:hAnsi="BNPP Sans Light"/>
          <w:lang w:val="nl-BE"/>
        </w:rPr>
        <w:t xml:space="preserve">Bij </w:t>
      </w:r>
      <w:r w:rsidR="0080226D">
        <w:rPr>
          <w:rFonts w:ascii="BNPP Sans Light" w:hAnsi="BNPP Sans Light"/>
          <w:lang w:val="nl-BE"/>
        </w:rPr>
        <w:t xml:space="preserve">maar liefst </w:t>
      </w:r>
      <w:r>
        <w:rPr>
          <w:rFonts w:ascii="BNPP Sans Light" w:hAnsi="BNPP Sans Light"/>
          <w:lang w:val="nl-BE"/>
        </w:rPr>
        <w:t xml:space="preserve">65% van de </w:t>
      </w:r>
      <w:r w:rsidR="00B61D25">
        <w:rPr>
          <w:rFonts w:ascii="BNPP Sans Light" w:hAnsi="BNPP Sans Light"/>
          <w:lang w:val="nl-BE"/>
        </w:rPr>
        <w:t xml:space="preserve">nieuwe </w:t>
      </w:r>
      <w:r w:rsidR="00495BDF">
        <w:rPr>
          <w:rFonts w:ascii="BNPP Sans Light" w:hAnsi="BNPP Sans Light"/>
          <w:lang w:val="nl-BE"/>
        </w:rPr>
        <w:t>krediet</w:t>
      </w:r>
      <w:r>
        <w:rPr>
          <w:rFonts w:ascii="BNPP Sans Light" w:hAnsi="BNPP Sans Light"/>
          <w:lang w:val="nl-BE"/>
        </w:rPr>
        <w:t xml:space="preserve">en voor </w:t>
      </w:r>
      <w:r w:rsidRPr="004C6E91">
        <w:rPr>
          <w:rFonts w:ascii="BNPP Sans Light" w:hAnsi="BNPP Sans Light"/>
          <w:b/>
          <w:bCs/>
          <w:lang w:val="nl-BE"/>
        </w:rPr>
        <w:t>tweede verblijven in België</w:t>
      </w:r>
      <w:r>
        <w:rPr>
          <w:rFonts w:ascii="BNPP Sans Light" w:hAnsi="BNPP Sans Light"/>
          <w:lang w:val="nl-BE"/>
        </w:rPr>
        <w:t xml:space="preserve"> </w:t>
      </w:r>
      <w:r w:rsidR="00F00A8F">
        <w:rPr>
          <w:rFonts w:ascii="BNPP Sans Light" w:hAnsi="BNPP Sans Light"/>
          <w:lang w:val="nl-BE"/>
        </w:rPr>
        <w:t>was</w:t>
      </w:r>
      <w:r>
        <w:rPr>
          <w:rFonts w:ascii="BNPP Sans Light" w:hAnsi="BNPP Sans Light"/>
          <w:lang w:val="nl-BE"/>
        </w:rPr>
        <w:t xml:space="preserve"> er</w:t>
      </w:r>
      <w:r w:rsidR="00F00A8F">
        <w:rPr>
          <w:rFonts w:ascii="BNPP Sans Light" w:hAnsi="BNPP Sans Light"/>
          <w:lang w:val="nl-BE"/>
        </w:rPr>
        <w:t xml:space="preserve"> in 2022</w:t>
      </w:r>
      <w:r>
        <w:rPr>
          <w:rFonts w:ascii="BNPP Sans Light" w:hAnsi="BNPP Sans Light"/>
          <w:lang w:val="nl-BE"/>
        </w:rPr>
        <w:t xml:space="preserve"> een aangifte van </w:t>
      </w:r>
      <w:r w:rsidRPr="004C6E91">
        <w:rPr>
          <w:rFonts w:ascii="BNPP Sans Light" w:hAnsi="BNPP Sans Light"/>
          <w:b/>
          <w:bCs/>
          <w:lang w:val="nl-BE"/>
        </w:rPr>
        <w:t>huuropbrengsten</w:t>
      </w:r>
      <w:r>
        <w:rPr>
          <w:rFonts w:ascii="BNPP Sans Light" w:hAnsi="BNPP Sans Light"/>
          <w:lang w:val="nl-BE"/>
        </w:rPr>
        <w:t xml:space="preserve">. </w:t>
      </w:r>
      <w:r w:rsidR="0080226D">
        <w:rPr>
          <w:rFonts w:ascii="BNPP Sans Light" w:hAnsi="BNPP Sans Light"/>
          <w:lang w:val="nl-BE"/>
        </w:rPr>
        <w:t xml:space="preserve">De opwaartse trend van te verhuren tweede woningen in eigen land tekent zich al enkele jaren af. </w:t>
      </w:r>
    </w:p>
    <w:p w14:paraId="0C77D9A4" w14:textId="6CE5317B" w:rsidR="004C6E91" w:rsidRDefault="004C6E91" w:rsidP="00EB5CD3">
      <w:pPr>
        <w:rPr>
          <w:rFonts w:ascii="BNPP Sans Light" w:hAnsi="BNPP Sans Light"/>
          <w:lang w:val="nl-BE"/>
        </w:rPr>
      </w:pPr>
    </w:p>
    <w:p w14:paraId="628A3698" w14:textId="114632FE" w:rsidR="004C6E91" w:rsidRDefault="004C6E91" w:rsidP="004C6E91">
      <w:pPr>
        <w:rPr>
          <w:rFonts w:ascii="BNPP Sans Light" w:hAnsi="BNPP Sans Light"/>
          <w:lang w:val="nl-BE"/>
        </w:rPr>
      </w:pPr>
      <w:r>
        <w:rPr>
          <w:rFonts w:ascii="BNPP Sans Light" w:hAnsi="BNPP Sans Light"/>
          <w:lang w:val="nl-BE"/>
        </w:rPr>
        <w:t xml:space="preserve">Van de kredieten voor tweede woningen in België, diende 4% voor een pand in de </w:t>
      </w:r>
      <w:r w:rsidRPr="009630E5">
        <w:rPr>
          <w:rFonts w:ascii="BNPP Sans Light" w:hAnsi="BNPP Sans Light"/>
          <w:b/>
          <w:bCs/>
          <w:lang w:val="nl-BE"/>
        </w:rPr>
        <w:t>Ardennen</w:t>
      </w:r>
      <w:r w:rsidRPr="009630E5">
        <w:rPr>
          <w:rStyle w:val="FootnoteReference"/>
          <w:rFonts w:ascii="BNPP Sans Light" w:hAnsi="BNPP Sans Light"/>
          <w:b/>
          <w:bCs/>
          <w:lang w:val="nl-BE"/>
        </w:rPr>
        <w:footnoteReference w:id="2"/>
      </w:r>
      <w:r>
        <w:rPr>
          <w:rFonts w:ascii="BNPP Sans Light" w:hAnsi="BNPP Sans Light"/>
          <w:lang w:val="nl-BE"/>
        </w:rPr>
        <w:t xml:space="preserve">, wat bijna een verdubbeling is ten opzichte van 2020 (+95%). De voorkeur voor een tweede verblijf ging er in 2022 uit naar een huis (81%), net als het jaar voordien (76%). We zien er een evenredige </w:t>
      </w:r>
      <w:r>
        <w:rPr>
          <w:rFonts w:ascii="BNPP Sans Light" w:hAnsi="BNPP Sans Light"/>
          <w:lang w:val="nl-BE"/>
        </w:rPr>
        <w:lastRenderedPageBreak/>
        <w:t xml:space="preserve">verdeling tussen tweede verblijven bestemd voor verhuur (53%) en voor eigen gebruik. Bastenaken (12%), Verviers (4%) en Vielsalm (3,5%) waren de favoriete </w:t>
      </w:r>
      <w:proofErr w:type="spellStart"/>
      <w:r>
        <w:rPr>
          <w:rFonts w:ascii="BNPP Sans Light" w:hAnsi="BNPP Sans Light"/>
          <w:lang w:val="nl-BE"/>
        </w:rPr>
        <w:t>Ardense</w:t>
      </w:r>
      <w:proofErr w:type="spellEnd"/>
      <w:r>
        <w:rPr>
          <w:rFonts w:ascii="BNPP Sans Light" w:hAnsi="BNPP Sans Light"/>
          <w:lang w:val="nl-BE"/>
        </w:rPr>
        <w:t xml:space="preserve"> bestemmingen. </w:t>
      </w:r>
    </w:p>
    <w:p w14:paraId="2FA831C6" w14:textId="77777777" w:rsidR="004C6E91" w:rsidRDefault="004C6E91" w:rsidP="00EB5CD3">
      <w:pPr>
        <w:rPr>
          <w:rFonts w:ascii="BNPP Sans Light" w:hAnsi="BNPP Sans Light"/>
          <w:lang w:val="nl-BE"/>
        </w:rPr>
      </w:pPr>
    </w:p>
    <w:p w14:paraId="6808FB84" w14:textId="17F5A8CF" w:rsidR="009630E5" w:rsidRDefault="00C34B17" w:rsidP="00EB5CD3">
      <w:pPr>
        <w:rPr>
          <w:rFonts w:ascii="BNPP Sans Light" w:hAnsi="BNPP Sans Light"/>
          <w:lang w:val="nl-BE"/>
        </w:rPr>
      </w:pPr>
      <w:r>
        <w:rPr>
          <w:rFonts w:ascii="BNPP Sans Light" w:hAnsi="BNPP Sans Light"/>
          <w:lang w:val="nl-BE"/>
        </w:rPr>
        <w:t xml:space="preserve">Aan de </w:t>
      </w:r>
      <w:r w:rsidRPr="009630E5">
        <w:rPr>
          <w:rFonts w:ascii="BNPP Sans Light" w:hAnsi="BNPP Sans Light"/>
          <w:b/>
          <w:bCs/>
          <w:lang w:val="nl-BE"/>
        </w:rPr>
        <w:t>Belgische kust</w:t>
      </w:r>
      <w:r w:rsidRPr="009630E5">
        <w:rPr>
          <w:rStyle w:val="FootnoteReference"/>
          <w:rFonts w:ascii="BNPP Sans Light" w:hAnsi="BNPP Sans Light"/>
          <w:b/>
          <w:bCs/>
          <w:lang w:val="nl-BE"/>
        </w:rPr>
        <w:footnoteReference w:id="3"/>
      </w:r>
      <w:r w:rsidR="00F00A8F">
        <w:rPr>
          <w:rFonts w:ascii="BNPP Sans Light" w:hAnsi="BNPP Sans Light"/>
          <w:lang w:val="nl-BE"/>
        </w:rPr>
        <w:t xml:space="preserve"> daarentegen </w:t>
      </w:r>
      <w:r w:rsidR="00CF5E37">
        <w:rPr>
          <w:rFonts w:ascii="BNPP Sans Light" w:hAnsi="BNPP Sans Light"/>
          <w:lang w:val="nl-BE"/>
        </w:rPr>
        <w:t>was</w:t>
      </w:r>
      <w:r w:rsidR="00F00A8F">
        <w:rPr>
          <w:rFonts w:ascii="BNPP Sans Light" w:hAnsi="BNPP Sans Light"/>
          <w:lang w:val="nl-BE"/>
        </w:rPr>
        <w:t xml:space="preserve"> het tweede verblijf in 6 op 10 gevallen </w:t>
      </w:r>
      <w:r w:rsidR="00CF5E37">
        <w:rPr>
          <w:rFonts w:ascii="BNPP Sans Light" w:hAnsi="BNPP Sans Light"/>
          <w:lang w:val="nl-BE"/>
        </w:rPr>
        <w:t>bestemd</w:t>
      </w:r>
      <w:r w:rsidR="00F00A8F">
        <w:rPr>
          <w:rFonts w:ascii="BNPP Sans Light" w:hAnsi="BNPP Sans Light"/>
          <w:lang w:val="nl-BE"/>
        </w:rPr>
        <w:t xml:space="preserve"> voor </w:t>
      </w:r>
      <w:r w:rsidR="00CF5E37">
        <w:rPr>
          <w:rFonts w:ascii="BNPP Sans Light" w:hAnsi="BNPP Sans Light"/>
          <w:lang w:val="nl-BE"/>
        </w:rPr>
        <w:t>eigen gebruik</w:t>
      </w:r>
      <w:r w:rsidR="00495BDF">
        <w:rPr>
          <w:rFonts w:ascii="BNPP Sans Light" w:hAnsi="BNPP Sans Light"/>
          <w:lang w:val="nl-BE"/>
        </w:rPr>
        <w:t xml:space="preserve"> (</w:t>
      </w:r>
      <w:r w:rsidR="00495BDF" w:rsidRPr="00102CBB">
        <w:rPr>
          <w:rFonts w:ascii="BNPP Sans Light" w:hAnsi="BNPP Sans Light"/>
          <w:lang w:val="nl-BE"/>
        </w:rPr>
        <w:t>60%)</w:t>
      </w:r>
      <w:r w:rsidR="00F00A8F" w:rsidRPr="00102CBB">
        <w:rPr>
          <w:rFonts w:ascii="BNPP Sans Light" w:hAnsi="BNPP Sans Light"/>
          <w:lang w:val="nl-BE"/>
        </w:rPr>
        <w:t xml:space="preserve">. Het aantal </w:t>
      </w:r>
      <w:r w:rsidR="00495BDF" w:rsidRPr="00102CBB">
        <w:rPr>
          <w:rFonts w:ascii="BNPP Sans Light" w:hAnsi="BNPP Sans Light"/>
          <w:lang w:val="nl-BE"/>
        </w:rPr>
        <w:t>krediet</w:t>
      </w:r>
      <w:r w:rsidR="009630E5" w:rsidRPr="00102CBB">
        <w:rPr>
          <w:rFonts w:ascii="BNPP Sans Light" w:hAnsi="BNPP Sans Light"/>
          <w:lang w:val="nl-BE"/>
        </w:rPr>
        <w:t>en voor</w:t>
      </w:r>
      <w:r w:rsidR="00F00A8F" w:rsidRPr="00102CBB">
        <w:rPr>
          <w:rFonts w:ascii="BNPP Sans Light" w:hAnsi="BNPP Sans Light"/>
          <w:lang w:val="nl-BE"/>
        </w:rPr>
        <w:t xml:space="preserve"> tweede verblijven daalde er met </w:t>
      </w:r>
      <w:r w:rsidR="00495BDF" w:rsidRPr="00102CBB">
        <w:rPr>
          <w:rFonts w:ascii="BNPP Sans Light" w:hAnsi="BNPP Sans Light"/>
          <w:lang w:val="nl-BE"/>
        </w:rPr>
        <w:t xml:space="preserve">één derde </w:t>
      </w:r>
      <w:r w:rsidR="00F00A8F" w:rsidRPr="00102CBB">
        <w:rPr>
          <w:rFonts w:ascii="BNPP Sans Light" w:hAnsi="BNPP Sans Light"/>
          <w:lang w:val="nl-BE"/>
        </w:rPr>
        <w:t xml:space="preserve">ten opzichte van het jaar ervoor, tot 7% van het </w:t>
      </w:r>
      <w:r w:rsidR="009630E5" w:rsidRPr="00102CBB">
        <w:rPr>
          <w:rFonts w:ascii="BNPP Sans Light" w:hAnsi="BNPP Sans Light"/>
          <w:lang w:val="nl-BE"/>
        </w:rPr>
        <w:t>totaal</w:t>
      </w:r>
      <w:r w:rsidR="00F00A8F" w:rsidRPr="00102CBB">
        <w:rPr>
          <w:rFonts w:ascii="BNPP Sans Light" w:hAnsi="BNPP Sans Light"/>
          <w:lang w:val="nl-BE"/>
        </w:rPr>
        <w:t xml:space="preserve"> in België. BNP</w:t>
      </w:r>
      <w:r w:rsidR="00F00A8F">
        <w:rPr>
          <w:rFonts w:ascii="BNPP Sans Light" w:hAnsi="BNPP Sans Light"/>
          <w:lang w:val="nl-BE"/>
        </w:rPr>
        <w:t xml:space="preserve"> Paribas Fortis-klanten kozen in de Belgische badplaatsen even vaak een huis (46%) als een appartement (47%) als tweede verblijf. </w:t>
      </w:r>
      <w:r w:rsidR="00495BDF">
        <w:rPr>
          <w:rFonts w:ascii="BNPP Sans Light" w:hAnsi="BNPP Sans Light"/>
          <w:lang w:val="nl-BE"/>
        </w:rPr>
        <w:t>Ze opteerden er</w:t>
      </w:r>
      <w:r w:rsidR="00B61D25">
        <w:rPr>
          <w:rFonts w:ascii="BNPP Sans Light" w:hAnsi="BNPP Sans Light"/>
          <w:lang w:val="nl-BE"/>
        </w:rPr>
        <w:t xml:space="preserve"> het vaakst voor Oostende (18%), Knokke-Heist (17%) en Brugge (8%).  </w:t>
      </w:r>
    </w:p>
    <w:p w14:paraId="59F1FB65" w14:textId="77777777" w:rsidR="00495BDF" w:rsidRDefault="00495BDF" w:rsidP="00EB5CD3">
      <w:pPr>
        <w:rPr>
          <w:rFonts w:ascii="BNPP Sans Light" w:hAnsi="BNPP Sans Light"/>
          <w:lang w:val="nl-BE"/>
        </w:rPr>
      </w:pPr>
    </w:p>
    <w:p w14:paraId="30F220FE" w14:textId="49446183" w:rsidR="009630E5" w:rsidRDefault="00B61D25" w:rsidP="00EB5CD3">
      <w:pPr>
        <w:rPr>
          <w:rFonts w:ascii="BNPP Sans Light" w:hAnsi="BNPP Sans Light"/>
          <w:lang w:val="nl-BE"/>
        </w:rPr>
      </w:pPr>
      <w:r>
        <w:rPr>
          <w:rFonts w:ascii="BNPP Sans Light" w:hAnsi="BNPP Sans Light"/>
          <w:lang w:val="nl-BE"/>
        </w:rPr>
        <w:t xml:space="preserve">In de Belgische </w:t>
      </w:r>
      <w:r w:rsidRPr="00B61D25">
        <w:rPr>
          <w:rFonts w:ascii="BNPP Sans Light" w:hAnsi="BNPP Sans Light"/>
          <w:b/>
          <w:bCs/>
          <w:lang w:val="nl-BE"/>
        </w:rPr>
        <w:t>universiteitssteden</w:t>
      </w:r>
      <w:r>
        <w:rPr>
          <w:rFonts w:ascii="BNPP Sans Light" w:hAnsi="BNPP Sans Light"/>
          <w:lang w:val="nl-BE"/>
        </w:rPr>
        <w:t xml:space="preserve"> waren 6 tot </w:t>
      </w:r>
      <w:r w:rsidR="00703537">
        <w:rPr>
          <w:rFonts w:ascii="BNPP Sans Light" w:hAnsi="BNPP Sans Light"/>
          <w:lang w:val="nl-BE"/>
        </w:rPr>
        <w:t xml:space="preserve">bijna </w:t>
      </w:r>
      <w:r>
        <w:rPr>
          <w:rFonts w:ascii="BNPP Sans Light" w:hAnsi="BNPP Sans Light"/>
          <w:lang w:val="nl-BE"/>
        </w:rPr>
        <w:t xml:space="preserve">8 op 10 nieuwe </w:t>
      </w:r>
      <w:r w:rsidR="00495BDF">
        <w:rPr>
          <w:rFonts w:ascii="BNPP Sans Light" w:hAnsi="BNPP Sans Light"/>
          <w:lang w:val="nl-BE"/>
        </w:rPr>
        <w:t>krediet</w:t>
      </w:r>
      <w:r>
        <w:rPr>
          <w:rFonts w:ascii="BNPP Sans Light" w:hAnsi="BNPP Sans Light"/>
          <w:lang w:val="nl-BE"/>
        </w:rPr>
        <w:t>en voor tweede verblijven bestemd voor verhuur. Voorbeelden zijn Brussel (7</w:t>
      </w:r>
      <w:r w:rsidR="00703537">
        <w:rPr>
          <w:rFonts w:ascii="BNPP Sans Light" w:hAnsi="BNPP Sans Light"/>
          <w:lang w:val="nl-BE"/>
        </w:rPr>
        <w:t>6</w:t>
      </w:r>
      <w:r>
        <w:rPr>
          <w:rFonts w:ascii="BNPP Sans Light" w:hAnsi="BNPP Sans Light"/>
          <w:lang w:val="nl-BE"/>
        </w:rPr>
        <w:t>%), Leuven (6</w:t>
      </w:r>
      <w:r w:rsidR="00703537">
        <w:rPr>
          <w:rFonts w:ascii="BNPP Sans Light" w:hAnsi="BNPP Sans Light"/>
          <w:lang w:val="nl-BE"/>
        </w:rPr>
        <w:t>7</w:t>
      </w:r>
      <w:r>
        <w:rPr>
          <w:rFonts w:ascii="BNPP Sans Light" w:hAnsi="BNPP Sans Light"/>
          <w:lang w:val="nl-BE"/>
        </w:rPr>
        <w:t xml:space="preserve">%), </w:t>
      </w:r>
      <w:proofErr w:type="spellStart"/>
      <w:r>
        <w:rPr>
          <w:rFonts w:ascii="BNPP Sans Light" w:hAnsi="BNPP Sans Light"/>
          <w:lang w:val="nl-BE"/>
        </w:rPr>
        <w:t>Louvain</w:t>
      </w:r>
      <w:proofErr w:type="spellEnd"/>
      <w:r>
        <w:rPr>
          <w:rFonts w:ascii="BNPP Sans Light" w:hAnsi="BNPP Sans Light"/>
          <w:lang w:val="nl-BE"/>
        </w:rPr>
        <w:t>-la-</w:t>
      </w:r>
      <w:proofErr w:type="spellStart"/>
      <w:r>
        <w:rPr>
          <w:rFonts w:ascii="BNPP Sans Light" w:hAnsi="BNPP Sans Light"/>
          <w:lang w:val="nl-BE"/>
        </w:rPr>
        <w:t>Neuve</w:t>
      </w:r>
      <w:proofErr w:type="spellEnd"/>
      <w:r>
        <w:rPr>
          <w:rFonts w:ascii="BNPP Sans Light" w:hAnsi="BNPP Sans Light"/>
          <w:lang w:val="nl-BE"/>
        </w:rPr>
        <w:t xml:space="preserve"> (</w:t>
      </w:r>
      <w:r w:rsidR="00102CBB">
        <w:rPr>
          <w:rFonts w:ascii="BNPP Sans Light" w:hAnsi="BNPP Sans Light"/>
          <w:lang w:val="nl-BE"/>
        </w:rPr>
        <w:t>78</w:t>
      </w:r>
      <w:r>
        <w:rPr>
          <w:rFonts w:ascii="BNPP Sans Light" w:hAnsi="BNPP Sans Light"/>
          <w:lang w:val="nl-BE"/>
        </w:rPr>
        <w:t xml:space="preserve">%), </w:t>
      </w:r>
      <w:r w:rsidRPr="00102CBB">
        <w:rPr>
          <w:rFonts w:ascii="BNPP Sans Light" w:hAnsi="BNPP Sans Light"/>
          <w:lang w:val="nl-BE"/>
        </w:rPr>
        <w:t>Gent (</w:t>
      </w:r>
      <w:r w:rsidR="00703537" w:rsidRPr="00102CBB">
        <w:rPr>
          <w:rFonts w:ascii="BNPP Sans Light" w:hAnsi="BNPP Sans Light"/>
          <w:lang w:val="nl-BE"/>
        </w:rPr>
        <w:t>70</w:t>
      </w:r>
      <w:r w:rsidRPr="00102CBB">
        <w:rPr>
          <w:rFonts w:ascii="BNPP Sans Light" w:hAnsi="BNPP Sans Light"/>
          <w:lang w:val="nl-BE"/>
        </w:rPr>
        <w:t>%)</w:t>
      </w:r>
      <w:r>
        <w:rPr>
          <w:rFonts w:ascii="BNPP Sans Light" w:hAnsi="BNPP Sans Light"/>
          <w:lang w:val="nl-BE"/>
        </w:rPr>
        <w:t xml:space="preserve"> en Bergen (7</w:t>
      </w:r>
      <w:r w:rsidR="00703537">
        <w:rPr>
          <w:rFonts w:ascii="BNPP Sans Light" w:hAnsi="BNPP Sans Light"/>
          <w:lang w:val="nl-BE"/>
        </w:rPr>
        <w:t>5</w:t>
      </w:r>
      <w:r>
        <w:rPr>
          <w:rFonts w:ascii="BNPP Sans Light" w:hAnsi="BNPP Sans Light"/>
          <w:lang w:val="nl-BE"/>
        </w:rPr>
        <w:t xml:space="preserve">%). Specifiek voor </w:t>
      </w:r>
      <w:r w:rsidRPr="00B61D25">
        <w:rPr>
          <w:rFonts w:ascii="BNPP Sans Light" w:hAnsi="BNPP Sans Light"/>
          <w:b/>
          <w:bCs/>
          <w:lang w:val="nl-BE"/>
        </w:rPr>
        <w:t>Brussel</w:t>
      </w:r>
      <w:r>
        <w:rPr>
          <w:rStyle w:val="FootnoteReference"/>
          <w:rFonts w:ascii="BNPP Sans Light" w:hAnsi="BNPP Sans Light"/>
          <w:b/>
          <w:bCs/>
          <w:lang w:val="nl-BE"/>
        </w:rPr>
        <w:footnoteReference w:id="4"/>
      </w:r>
      <w:r>
        <w:rPr>
          <w:rFonts w:ascii="BNPP Sans Light" w:hAnsi="BNPP Sans Light"/>
          <w:lang w:val="nl-BE"/>
        </w:rPr>
        <w:t xml:space="preserve"> stelt BNP Paribas Fortis vast dat </w:t>
      </w:r>
      <w:r w:rsidR="00495BDF">
        <w:rPr>
          <w:rFonts w:ascii="BNPP Sans Light" w:hAnsi="BNPP Sans Light"/>
          <w:lang w:val="nl-BE"/>
        </w:rPr>
        <w:t>krediet</w:t>
      </w:r>
      <w:r>
        <w:rPr>
          <w:rFonts w:ascii="BNPP Sans Light" w:hAnsi="BNPP Sans Light"/>
          <w:lang w:val="nl-BE"/>
        </w:rPr>
        <w:t xml:space="preserve">en voor tweede verblijven even vaak werden afgesloten voor huizen (48%) als voor appartementen (47%). </w:t>
      </w:r>
      <w:r>
        <w:rPr>
          <w:rFonts w:ascii="BNPP Sans Light" w:hAnsi="BNPP Sans Light"/>
          <w:lang w:val="nl-BE"/>
        </w:rPr>
        <w:tab/>
      </w:r>
    </w:p>
    <w:p w14:paraId="477A425C" w14:textId="77777777" w:rsidR="004C6E91" w:rsidRDefault="004C6E91" w:rsidP="004C6E91">
      <w:pPr>
        <w:rPr>
          <w:rFonts w:ascii="BNPP Sans Light" w:hAnsi="BNPP Sans Light"/>
          <w:b/>
          <w:bCs/>
          <w:lang w:val="nl-BE"/>
        </w:rPr>
      </w:pPr>
    </w:p>
    <w:p w14:paraId="1A12F734" w14:textId="3850971E" w:rsidR="009630E5" w:rsidRDefault="004C6E91" w:rsidP="00EB5CD3">
      <w:pPr>
        <w:rPr>
          <w:rFonts w:ascii="BNPP Sans Light" w:hAnsi="BNPP Sans Light"/>
          <w:lang w:val="nl-BE"/>
        </w:rPr>
      </w:pPr>
      <w:r>
        <w:rPr>
          <w:rFonts w:ascii="BNPP Sans Light" w:hAnsi="BNPP Sans Light"/>
          <w:b/>
          <w:bCs/>
          <w:lang w:val="nl-BE"/>
        </w:rPr>
        <w:t>Buitenlandse eigendommen: steeds vaker voor verhuur</w:t>
      </w:r>
      <w:r>
        <w:rPr>
          <w:rFonts w:ascii="BNPP Sans Light" w:hAnsi="BNPP Sans Light"/>
          <w:lang w:val="nl-BE"/>
        </w:rPr>
        <w:t xml:space="preserve"> </w:t>
      </w:r>
    </w:p>
    <w:p w14:paraId="1E804BA7" w14:textId="6CBBA315" w:rsidR="00102CBB" w:rsidRDefault="00102CBB" w:rsidP="00EB5CD3">
      <w:pPr>
        <w:rPr>
          <w:rFonts w:ascii="BNPP Sans Light" w:hAnsi="BNPP Sans Light"/>
          <w:lang w:val="nl-BE"/>
        </w:rPr>
      </w:pPr>
      <w:r>
        <w:rPr>
          <w:rFonts w:ascii="BNPP Sans Light" w:hAnsi="BNPP Sans Light"/>
          <w:lang w:val="nl-BE"/>
        </w:rPr>
        <w:t xml:space="preserve">Het aantal kredietdossiers voor tweede verblijven in het buitenland is bij BNP Paribas Fortis met 30% gestegen ten opzichte van 2021. Volgens cijfers van de FOD Financiën bezitten in 2022 meer dan 200.000 Belgen minstens één </w:t>
      </w:r>
      <w:r w:rsidR="00A5363D">
        <w:rPr>
          <w:rFonts w:ascii="BNPP Sans Light" w:hAnsi="BNPP Sans Light"/>
          <w:lang w:val="nl-BE"/>
        </w:rPr>
        <w:t xml:space="preserve">tweede </w:t>
      </w:r>
      <w:r>
        <w:rPr>
          <w:rFonts w:ascii="BNPP Sans Light" w:hAnsi="BNPP Sans Light"/>
          <w:lang w:val="nl-BE"/>
        </w:rPr>
        <w:t xml:space="preserve">eigendom in een ander land. Zo’n 23.000 daarvan </w:t>
      </w:r>
      <w:r w:rsidR="0045188B">
        <w:rPr>
          <w:rFonts w:ascii="BNPP Sans Light" w:hAnsi="BNPP Sans Light"/>
          <w:lang w:val="nl-BE"/>
        </w:rPr>
        <w:t>hadden</w:t>
      </w:r>
      <w:r>
        <w:rPr>
          <w:rFonts w:ascii="BNPP Sans Light" w:hAnsi="BNPP Sans Light"/>
          <w:lang w:val="nl-BE"/>
        </w:rPr>
        <w:t xml:space="preserve"> meer dan één buitenlands goed.</w:t>
      </w:r>
    </w:p>
    <w:p w14:paraId="6BBB2800" w14:textId="77777777" w:rsidR="00102CBB" w:rsidRDefault="00102CBB" w:rsidP="00EB5CD3">
      <w:pPr>
        <w:rPr>
          <w:rFonts w:ascii="BNPP Sans Light" w:hAnsi="BNPP Sans Light"/>
          <w:lang w:val="nl-BE"/>
        </w:rPr>
      </w:pPr>
    </w:p>
    <w:p w14:paraId="4EE2C058" w14:textId="5B83D625" w:rsidR="004C6E91" w:rsidRDefault="004C6E91" w:rsidP="00EB5CD3">
      <w:pPr>
        <w:rPr>
          <w:rFonts w:ascii="BNPP Sans Light" w:hAnsi="BNPP Sans Light"/>
          <w:lang w:val="nl-BE"/>
        </w:rPr>
      </w:pPr>
      <w:r>
        <w:rPr>
          <w:rFonts w:ascii="BNPP Sans Light" w:hAnsi="BNPP Sans Light"/>
          <w:lang w:val="nl-BE"/>
        </w:rPr>
        <w:t xml:space="preserve">Ook in andere landen zijn de tweede verblijven van kredietnemers bij BNP Paribas Fortis steeds vaker bestemd voor verhuur. Ging het in 2020 nog om 10% van de kredieten voor tweede verblijven in het buitenland, dan tekende de bank in 2022 een percentage van 14% op. </w:t>
      </w:r>
    </w:p>
    <w:p w14:paraId="6727AE3C" w14:textId="77777777" w:rsidR="004C6E91" w:rsidRDefault="004C6E91" w:rsidP="00EB5CD3">
      <w:pPr>
        <w:rPr>
          <w:rFonts w:ascii="BNPP Sans Light" w:hAnsi="BNPP Sans Light"/>
          <w:lang w:val="nl-BE"/>
        </w:rPr>
      </w:pPr>
    </w:p>
    <w:p w14:paraId="4FEDF03B" w14:textId="3B830119" w:rsidR="00975E90" w:rsidRDefault="00975E90" w:rsidP="00EB5CD3">
      <w:pPr>
        <w:rPr>
          <w:rFonts w:ascii="BNPP Sans Light" w:hAnsi="BNPP Sans Light"/>
          <w:lang w:val="nl-BE"/>
        </w:rPr>
      </w:pPr>
      <w:r>
        <w:rPr>
          <w:rFonts w:ascii="BNPP Sans Light" w:hAnsi="BNPP Sans Light"/>
          <w:lang w:val="nl-BE"/>
        </w:rPr>
        <w:t>Net als in 2021 (60%) waren de 55-plussers in 2022 (52%) het sterkst vertegenwoordigd bij de kredietnemers voor een tweede verblijf in het buitenland. Personen jonger dan 45 jaar vertegenwoordigden 1 kredietnemer op 4 (25%), bij de min-35-jarigen kwam</w:t>
      </w:r>
      <w:r w:rsidR="0045188B">
        <w:rPr>
          <w:rFonts w:ascii="BNPP Sans Light" w:hAnsi="BNPP Sans Light"/>
          <w:lang w:val="nl-BE"/>
        </w:rPr>
        <w:t xml:space="preserve"> dat </w:t>
      </w:r>
      <w:r>
        <w:rPr>
          <w:rFonts w:ascii="BNPP Sans Light" w:hAnsi="BNPP Sans Light"/>
          <w:lang w:val="nl-BE"/>
        </w:rPr>
        <w:t xml:space="preserve">uit op 3%. Opvallend is dat een vijfde (20%) van de kredietnemers die een tweede verblijf kochten in Frankrijk of Spanje jonger </w:t>
      </w:r>
      <w:r w:rsidR="00495BDF">
        <w:rPr>
          <w:rFonts w:ascii="BNPP Sans Light" w:hAnsi="BNPP Sans Light"/>
          <w:lang w:val="nl-BE"/>
        </w:rPr>
        <w:t>was</w:t>
      </w:r>
      <w:r>
        <w:rPr>
          <w:rFonts w:ascii="BNPP Sans Light" w:hAnsi="BNPP Sans Light"/>
          <w:lang w:val="nl-BE"/>
        </w:rPr>
        <w:t xml:space="preserve"> dan 45 jaar. </w:t>
      </w:r>
    </w:p>
    <w:p w14:paraId="3DDEEBF3" w14:textId="77777777" w:rsidR="004C6E91" w:rsidRDefault="004C6E91" w:rsidP="004C6E91">
      <w:pPr>
        <w:rPr>
          <w:rFonts w:ascii="BNPP Sans Light" w:hAnsi="BNPP Sans Light"/>
          <w:b/>
          <w:bCs/>
          <w:lang w:val="nl-BE"/>
        </w:rPr>
      </w:pPr>
    </w:p>
    <w:p w14:paraId="7AB22195" w14:textId="23CC57FC" w:rsidR="00975E90" w:rsidRDefault="004C6E91" w:rsidP="00EB5CD3">
      <w:pPr>
        <w:rPr>
          <w:rFonts w:ascii="BNPP Sans Light" w:hAnsi="BNPP Sans Light"/>
          <w:lang w:val="nl-BE"/>
        </w:rPr>
      </w:pPr>
      <w:r>
        <w:rPr>
          <w:rFonts w:ascii="BNPP Sans Light" w:hAnsi="BNPP Sans Light"/>
          <w:b/>
          <w:bCs/>
          <w:lang w:val="nl-BE"/>
        </w:rPr>
        <w:t xml:space="preserve">Spanje, Frankrijk en Italië alsmaar populairder </w:t>
      </w:r>
    </w:p>
    <w:p w14:paraId="79B0CAF5" w14:textId="49158D7C" w:rsidR="004C6E91" w:rsidRDefault="004C6E91" w:rsidP="004C6E91">
      <w:pPr>
        <w:rPr>
          <w:rFonts w:ascii="BNPP Sans Light" w:hAnsi="BNPP Sans Light"/>
          <w:lang w:val="nl-BE"/>
        </w:rPr>
      </w:pPr>
      <w:r>
        <w:rPr>
          <w:rFonts w:ascii="BNPP Sans Light" w:hAnsi="BNPP Sans Light"/>
          <w:lang w:val="nl-BE"/>
        </w:rPr>
        <w:t xml:space="preserve">BNP Paribas Fortis-kredietnemers kochten het vaakst tweede verblijven in Spanje (42%), Frankrijk (32%) en Italië (7%). Die top 3 bleef ongewijzigd ten opzichte van 2021, hoewel het aantal kredieten voor tweede woningen in die landen significant steeg: BNP Paribas Fortis noteert een toename met 19% voor Spanje, 31% voor Frankrijk en maar liefst 110% voor Italië. </w:t>
      </w:r>
    </w:p>
    <w:p w14:paraId="282C86E5" w14:textId="77777777" w:rsidR="004C6E91" w:rsidRDefault="004C6E91" w:rsidP="004C6E91">
      <w:pPr>
        <w:rPr>
          <w:rFonts w:ascii="BNPP Sans Light" w:hAnsi="BNPP Sans Light"/>
          <w:lang w:val="nl-BE"/>
        </w:rPr>
      </w:pPr>
    </w:p>
    <w:p w14:paraId="7DF737A2" w14:textId="7866251F" w:rsidR="00501934" w:rsidRDefault="00501934" w:rsidP="00EB5CD3">
      <w:pPr>
        <w:rPr>
          <w:rFonts w:ascii="BNPP Sans Light" w:hAnsi="BNPP Sans Light"/>
          <w:lang w:val="nl-BE"/>
        </w:rPr>
      </w:pPr>
      <w:r>
        <w:rPr>
          <w:rFonts w:ascii="BNPP Sans Light" w:hAnsi="BNPP Sans Light"/>
          <w:lang w:val="nl-BE"/>
        </w:rPr>
        <w:t>Zowel bij woningen</w:t>
      </w:r>
      <w:r w:rsidR="004C6E91">
        <w:rPr>
          <w:rFonts w:ascii="BNPP Sans Light" w:hAnsi="BNPP Sans Light"/>
          <w:lang w:val="nl-BE"/>
        </w:rPr>
        <w:t xml:space="preserve"> voor verhuur</w:t>
      </w:r>
      <w:r>
        <w:rPr>
          <w:rFonts w:ascii="BNPP Sans Light" w:hAnsi="BNPP Sans Light"/>
          <w:lang w:val="nl-BE"/>
        </w:rPr>
        <w:t xml:space="preserve"> als bij </w:t>
      </w:r>
      <w:r w:rsidR="002936EA">
        <w:rPr>
          <w:rFonts w:ascii="BNPP Sans Light" w:hAnsi="BNPP Sans Light"/>
          <w:lang w:val="nl-BE"/>
        </w:rPr>
        <w:t xml:space="preserve">woningen </w:t>
      </w:r>
      <w:r w:rsidR="00CF5E37">
        <w:rPr>
          <w:rFonts w:ascii="BNPP Sans Light" w:hAnsi="BNPP Sans Light"/>
          <w:lang w:val="nl-BE"/>
        </w:rPr>
        <w:t xml:space="preserve">voor eigen gebruik </w:t>
      </w:r>
      <w:r>
        <w:rPr>
          <w:rFonts w:ascii="BNPP Sans Light" w:hAnsi="BNPP Sans Light"/>
          <w:lang w:val="nl-BE"/>
        </w:rPr>
        <w:t xml:space="preserve">stonden Spanje en Frankrijk aan het hoofd van het klassement: </w:t>
      </w:r>
    </w:p>
    <w:p w14:paraId="68DFDD8B" w14:textId="6F430D96" w:rsidR="00501934" w:rsidRDefault="00501934" w:rsidP="00EB5CD3">
      <w:pPr>
        <w:rPr>
          <w:rFonts w:ascii="BNPP Sans Light" w:hAnsi="BNPP Sans Light"/>
          <w:lang w:val="nl-BE"/>
        </w:rPr>
      </w:pPr>
    </w:p>
    <w:tbl>
      <w:tblPr>
        <w:tblStyle w:val="TableGrid"/>
        <w:tblW w:w="0" w:type="auto"/>
        <w:tblLook w:val="04A0" w:firstRow="1" w:lastRow="0" w:firstColumn="1" w:lastColumn="0" w:noHBand="0" w:noVBand="1"/>
      </w:tblPr>
      <w:tblGrid>
        <w:gridCol w:w="531"/>
        <w:gridCol w:w="4470"/>
        <w:gridCol w:w="5193"/>
      </w:tblGrid>
      <w:tr w:rsidR="00501934" w:rsidRPr="00DA7797" w14:paraId="542DB770" w14:textId="77777777" w:rsidTr="005C146E">
        <w:tc>
          <w:tcPr>
            <w:tcW w:w="10344" w:type="dxa"/>
            <w:gridSpan w:val="3"/>
          </w:tcPr>
          <w:p w14:paraId="08C6F83B" w14:textId="03922FF5" w:rsidR="00501934" w:rsidRDefault="004C6E91" w:rsidP="00501934">
            <w:pPr>
              <w:jc w:val="center"/>
              <w:rPr>
                <w:rFonts w:ascii="BNPP Sans Light" w:hAnsi="BNPP Sans Light"/>
                <w:lang w:val="nl-BE"/>
              </w:rPr>
            </w:pPr>
            <w:r>
              <w:rPr>
                <w:rFonts w:ascii="BNPP Sans Light" w:hAnsi="BNPP Sans Light"/>
                <w:lang w:val="nl-BE"/>
              </w:rPr>
              <w:lastRenderedPageBreak/>
              <w:t>Top 5 van</w:t>
            </w:r>
            <w:r w:rsidR="00501934">
              <w:rPr>
                <w:rFonts w:ascii="BNPP Sans Light" w:hAnsi="BNPP Sans Light"/>
                <w:lang w:val="nl-BE"/>
              </w:rPr>
              <w:t xml:space="preserve"> tweede verblijven in het buitenland (2022)</w:t>
            </w:r>
          </w:p>
        </w:tc>
      </w:tr>
      <w:tr w:rsidR="00501934" w14:paraId="77EB70E5" w14:textId="77777777" w:rsidTr="00501934">
        <w:tc>
          <w:tcPr>
            <w:tcW w:w="534" w:type="dxa"/>
          </w:tcPr>
          <w:p w14:paraId="78E332E1" w14:textId="77777777" w:rsidR="00501934" w:rsidRDefault="00501934" w:rsidP="00EB5CD3">
            <w:pPr>
              <w:rPr>
                <w:rFonts w:ascii="BNPP Sans Light" w:hAnsi="BNPP Sans Light"/>
                <w:lang w:val="nl-BE"/>
              </w:rPr>
            </w:pPr>
          </w:p>
        </w:tc>
        <w:tc>
          <w:tcPr>
            <w:tcW w:w="4536" w:type="dxa"/>
          </w:tcPr>
          <w:p w14:paraId="3F23D0DB" w14:textId="749A21FD" w:rsidR="00501934" w:rsidRDefault="00501934" w:rsidP="00501934">
            <w:pPr>
              <w:jc w:val="center"/>
              <w:rPr>
                <w:rFonts w:ascii="BNPP Sans Light" w:hAnsi="BNPP Sans Light"/>
                <w:lang w:val="nl-BE"/>
              </w:rPr>
            </w:pPr>
            <w:r>
              <w:rPr>
                <w:rFonts w:ascii="BNPP Sans Light" w:hAnsi="BNPP Sans Light"/>
                <w:lang w:val="nl-BE"/>
              </w:rPr>
              <w:t>Verhuur</w:t>
            </w:r>
          </w:p>
        </w:tc>
        <w:tc>
          <w:tcPr>
            <w:tcW w:w="5274" w:type="dxa"/>
          </w:tcPr>
          <w:p w14:paraId="5C1049C8" w14:textId="17990F73" w:rsidR="00501934" w:rsidRDefault="00CF5E37" w:rsidP="00501934">
            <w:pPr>
              <w:jc w:val="center"/>
              <w:rPr>
                <w:rFonts w:ascii="BNPP Sans Light" w:hAnsi="BNPP Sans Light"/>
                <w:lang w:val="nl-BE"/>
              </w:rPr>
            </w:pPr>
            <w:r>
              <w:rPr>
                <w:rFonts w:ascii="BNPP Sans Light" w:hAnsi="BNPP Sans Light"/>
                <w:lang w:val="nl-BE"/>
              </w:rPr>
              <w:t>Eigen gebruik</w:t>
            </w:r>
          </w:p>
        </w:tc>
      </w:tr>
      <w:tr w:rsidR="00501934" w14:paraId="044E725E" w14:textId="77777777" w:rsidTr="00501934">
        <w:tc>
          <w:tcPr>
            <w:tcW w:w="534" w:type="dxa"/>
          </w:tcPr>
          <w:p w14:paraId="1E56E8F8" w14:textId="61561A31" w:rsidR="00501934" w:rsidRDefault="00501934" w:rsidP="00501934">
            <w:pPr>
              <w:jc w:val="center"/>
              <w:rPr>
                <w:rFonts w:ascii="BNPP Sans Light" w:hAnsi="BNPP Sans Light"/>
                <w:lang w:val="nl-BE"/>
              </w:rPr>
            </w:pPr>
            <w:r>
              <w:rPr>
                <w:rFonts w:ascii="BNPP Sans Light" w:hAnsi="BNPP Sans Light"/>
                <w:lang w:val="nl-BE"/>
              </w:rPr>
              <w:t>1.</w:t>
            </w:r>
          </w:p>
        </w:tc>
        <w:tc>
          <w:tcPr>
            <w:tcW w:w="4536" w:type="dxa"/>
          </w:tcPr>
          <w:p w14:paraId="07343B9A" w14:textId="5D675682" w:rsidR="00501934" w:rsidRPr="00501934" w:rsidRDefault="00501934" w:rsidP="00EB5CD3">
            <w:pPr>
              <w:rPr>
                <w:rFonts w:ascii="BNPP Sans Light" w:hAnsi="BNPP Sans Light"/>
                <w:lang w:val="nl-BE"/>
              </w:rPr>
            </w:pPr>
            <w:r>
              <w:rPr>
                <w:rFonts w:ascii="BNPP Sans Light" w:hAnsi="BNPP Sans Light"/>
                <w:b/>
                <w:bCs/>
                <w:lang w:val="nl-BE"/>
              </w:rPr>
              <w:t xml:space="preserve">Spanje </w:t>
            </w:r>
            <w:r>
              <w:rPr>
                <w:rFonts w:ascii="BNPP Sans Light" w:hAnsi="BNPP Sans Light"/>
                <w:lang w:val="nl-BE"/>
              </w:rPr>
              <w:t>(31%)</w:t>
            </w:r>
          </w:p>
        </w:tc>
        <w:tc>
          <w:tcPr>
            <w:tcW w:w="5274" w:type="dxa"/>
          </w:tcPr>
          <w:p w14:paraId="79DF3DB0" w14:textId="038F44F0" w:rsidR="00501934" w:rsidRPr="00501934" w:rsidRDefault="00501934" w:rsidP="00EB5CD3">
            <w:pPr>
              <w:rPr>
                <w:rFonts w:ascii="BNPP Sans Light" w:hAnsi="BNPP Sans Light"/>
                <w:lang w:val="nl-BE"/>
              </w:rPr>
            </w:pPr>
            <w:r>
              <w:rPr>
                <w:rFonts w:ascii="BNPP Sans Light" w:hAnsi="BNPP Sans Light"/>
                <w:b/>
                <w:bCs/>
                <w:lang w:val="nl-BE"/>
              </w:rPr>
              <w:t xml:space="preserve">Spanje </w:t>
            </w:r>
            <w:r>
              <w:rPr>
                <w:rFonts w:ascii="BNPP Sans Light" w:hAnsi="BNPP Sans Light"/>
                <w:lang w:val="nl-BE"/>
              </w:rPr>
              <w:t>(44%)</w:t>
            </w:r>
          </w:p>
        </w:tc>
      </w:tr>
      <w:tr w:rsidR="00501934" w14:paraId="786C511D" w14:textId="77777777" w:rsidTr="00501934">
        <w:tc>
          <w:tcPr>
            <w:tcW w:w="534" w:type="dxa"/>
          </w:tcPr>
          <w:p w14:paraId="50862324" w14:textId="58872E78" w:rsidR="00501934" w:rsidRDefault="00501934" w:rsidP="00501934">
            <w:pPr>
              <w:jc w:val="center"/>
              <w:rPr>
                <w:rFonts w:ascii="BNPP Sans Light" w:hAnsi="BNPP Sans Light"/>
                <w:lang w:val="nl-BE"/>
              </w:rPr>
            </w:pPr>
            <w:r>
              <w:rPr>
                <w:rFonts w:ascii="BNPP Sans Light" w:hAnsi="BNPP Sans Light"/>
                <w:lang w:val="nl-BE"/>
              </w:rPr>
              <w:t>2.</w:t>
            </w:r>
          </w:p>
        </w:tc>
        <w:tc>
          <w:tcPr>
            <w:tcW w:w="4536" w:type="dxa"/>
          </w:tcPr>
          <w:p w14:paraId="44FEEF40" w14:textId="105037E4" w:rsidR="00501934" w:rsidRPr="00501934" w:rsidRDefault="00501934" w:rsidP="00EB5CD3">
            <w:pPr>
              <w:rPr>
                <w:rFonts w:ascii="BNPP Sans Light" w:hAnsi="BNPP Sans Light"/>
                <w:lang w:val="nl-BE"/>
              </w:rPr>
            </w:pPr>
            <w:r>
              <w:rPr>
                <w:rFonts w:ascii="BNPP Sans Light" w:hAnsi="BNPP Sans Light"/>
                <w:b/>
                <w:bCs/>
                <w:lang w:val="nl-BE"/>
              </w:rPr>
              <w:t xml:space="preserve">Frankrijk </w:t>
            </w:r>
            <w:r>
              <w:rPr>
                <w:rFonts w:ascii="BNPP Sans Light" w:hAnsi="BNPP Sans Light"/>
                <w:lang w:val="nl-BE"/>
              </w:rPr>
              <w:t>(30%)</w:t>
            </w:r>
          </w:p>
        </w:tc>
        <w:tc>
          <w:tcPr>
            <w:tcW w:w="5274" w:type="dxa"/>
          </w:tcPr>
          <w:p w14:paraId="032D358F" w14:textId="10688CDF" w:rsidR="00501934" w:rsidRPr="00501934" w:rsidRDefault="00501934" w:rsidP="00EB5CD3">
            <w:pPr>
              <w:rPr>
                <w:rFonts w:ascii="BNPP Sans Light" w:hAnsi="BNPP Sans Light"/>
                <w:lang w:val="nl-BE"/>
              </w:rPr>
            </w:pPr>
            <w:r>
              <w:rPr>
                <w:rFonts w:ascii="BNPP Sans Light" w:hAnsi="BNPP Sans Light"/>
                <w:b/>
                <w:bCs/>
                <w:lang w:val="nl-BE"/>
              </w:rPr>
              <w:t xml:space="preserve">Frankrijk </w:t>
            </w:r>
            <w:r>
              <w:rPr>
                <w:rFonts w:ascii="BNPP Sans Light" w:hAnsi="BNPP Sans Light"/>
                <w:lang w:val="nl-BE"/>
              </w:rPr>
              <w:t>(33%)</w:t>
            </w:r>
          </w:p>
        </w:tc>
      </w:tr>
      <w:tr w:rsidR="00501934" w14:paraId="0BDC0AD5" w14:textId="77777777" w:rsidTr="00501934">
        <w:tc>
          <w:tcPr>
            <w:tcW w:w="534" w:type="dxa"/>
          </w:tcPr>
          <w:p w14:paraId="6E70BF25" w14:textId="29CE7596" w:rsidR="00501934" w:rsidRDefault="00501934" w:rsidP="00501934">
            <w:pPr>
              <w:jc w:val="center"/>
              <w:rPr>
                <w:rFonts w:ascii="BNPP Sans Light" w:hAnsi="BNPP Sans Light"/>
                <w:lang w:val="nl-BE"/>
              </w:rPr>
            </w:pPr>
            <w:r>
              <w:rPr>
                <w:rFonts w:ascii="BNPP Sans Light" w:hAnsi="BNPP Sans Light"/>
                <w:lang w:val="nl-BE"/>
              </w:rPr>
              <w:t>3.</w:t>
            </w:r>
          </w:p>
        </w:tc>
        <w:tc>
          <w:tcPr>
            <w:tcW w:w="4536" w:type="dxa"/>
          </w:tcPr>
          <w:p w14:paraId="7661D7B6" w14:textId="1E65F2AC" w:rsidR="00501934" w:rsidRPr="00501934" w:rsidRDefault="00501934" w:rsidP="00EB5CD3">
            <w:pPr>
              <w:rPr>
                <w:rFonts w:ascii="BNPP Sans Light" w:hAnsi="BNPP Sans Light"/>
                <w:lang w:val="nl-BE"/>
              </w:rPr>
            </w:pPr>
            <w:r>
              <w:rPr>
                <w:rFonts w:ascii="BNPP Sans Light" w:hAnsi="BNPP Sans Light"/>
                <w:b/>
                <w:bCs/>
                <w:lang w:val="nl-BE"/>
              </w:rPr>
              <w:t xml:space="preserve">Nederland </w:t>
            </w:r>
            <w:r>
              <w:rPr>
                <w:rFonts w:ascii="BNPP Sans Light" w:hAnsi="BNPP Sans Light"/>
                <w:lang w:val="nl-BE"/>
              </w:rPr>
              <w:t>(18%)</w:t>
            </w:r>
          </w:p>
        </w:tc>
        <w:tc>
          <w:tcPr>
            <w:tcW w:w="5274" w:type="dxa"/>
          </w:tcPr>
          <w:p w14:paraId="229D6944" w14:textId="48012F33" w:rsidR="00501934" w:rsidRPr="00501934" w:rsidRDefault="00501934" w:rsidP="00EB5CD3">
            <w:pPr>
              <w:rPr>
                <w:rFonts w:ascii="BNPP Sans Light" w:hAnsi="BNPP Sans Light"/>
                <w:lang w:val="nl-BE"/>
              </w:rPr>
            </w:pPr>
            <w:r>
              <w:rPr>
                <w:rFonts w:ascii="BNPP Sans Light" w:hAnsi="BNPP Sans Light"/>
                <w:b/>
                <w:bCs/>
                <w:lang w:val="nl-BE"/>
              </w:rPr>
              <w:t xml:space="preserve">Italië </w:t>
            </w:r>
            <w:r>
              <w:rPr>
                <w:rFonts w:ascii="BNPP Sans Light" w:hAnsi="BNPP Sans Light"/>
                <w:lang w:val="nl-BE"/>
              </w:rPr>
              <w:t>(7%)</w:t>
            </w:r>
          </w:p>
        </w:tc>
      </w:tr>
      <w:tr w:rsidR="00501934" w14:paraId="753BD15E" w14:textId="77777777" w:rsidTr="00501934">
        <w:tc>
          <w:tcPr>
            <w:tcW w:w="534" w:type="dxa"/>
          </w:tcPr>
          <w:p w14:paraId="1398388A" w14:textId="3AEB68B7" w:rsidR="00501934" w:rsidRDefault="00501934" w:rsidP="00501934">
            <w:pPr>
              <w:jc w:val="center"/>
              <w:rPr>
                <w:rFonts w:ascii="BNPP Sans Light" w:hAnsi="BNPP Sans Light"/>
                <w:lang w:val="nl-BE"/>
              </w:rPr>
            </w:pPr>
            <w:r>
              <w:rPr>
                <w:rFonts w:ascii="BNPP Sans Light" w:hAnsi="BNPP Sans Light"/>
                <w:lang w:val="nl-BE"/>
              </w:rPr>
              <w:t>4.</w:t>
            </w:r>
          </w:p>
        </w:tc>
        <w:tc>
          <w:tcPr>
            <w:tcW w:w="4536" w:type="dxa"/>
          </w:tcPr>
          <w:p w14:paraId="51BDD196" w14:textId="2E8042FF" w:rsidR="00501934" w:rsidRPr="00501934" w:rsidRDefault="00501934" w:rsidP="00EB5CD3">
            <w:pPr>
              <w:rPr>
                <w:rFonts w:ascii="BNPP Sans Light" w:hAnsi="BNPP Sans Light"/>
                <w:lang w:val="nl-BE"/>
              </w:rPr>
            </w:pPr>
            <w:r>
              <w:rPr>
                <w:rFonts w:ascii="BNPP Sans Light" w:hAnsi="BNPP Sans Light"/>
                <w:b/>
                <w:bCs/>
                <w:lang w:val="nl-BE"/>
              </w:rPr>
              <w:t xml:space="preserve">Duitsland </w:t>
            </w:r>
            <w:r>
              <w:rPr>
                <w:rFonts w:ascii="BNPP Sans Light" w:hAnsi="BNPP Sans Light"/>
                <w:lang w:val="nl-BE"/>
              </w:rPr>
              <w:t>(5%)</w:t>
            </w:r>
          </w:p>
        </w:tc>
        <w:tc>
          <w:tcPr>
            <w:tcW w:w="5274" w:type="dxa"/>
          </w:tcPr>
          <w:p w14:paraId="7A1E3DF5" w14:textId="3A75EF06" w:rsidR="00501934" w:rsidRPr="00501934" w:rsidRDefault="00501934" w:rsidP="00EB5CD3">
            <w:pPr>
              <w:rPr>
                <w:rFonts w:ascii="BNPP Sans Light" w:hAnsi="BNPP Sans Light"/>
                <w:lang w:val="nl-BE"/>
              </w:rPr>
            </w:pPr>
            <w:r>
              <w:rPr>
                <w:rFonts w:ascii="BNPP Sans Light" w:hAnsi="BNPP Sans Light"/>
                <w:b/>
                <w:bCs/>
                <w:lang w:val="nl-BE"/>
              </w:rPr>
              <w:t xml:space="preserve">Nederland </w:t>
            </w:r>
            <w:r>
              <w:rPr>
                <w:rFonts w:ascii="BNPP Sans Light" w:hAnsi="BNPP Sans Light"/>
                <w:lang w:val="nl-BE"/>
              </w:rPr>
              <w:t>(4%)</w:t>
            </w:r>
          </w:p>
        </w:tc>
      </w:tr>
      <w:tr w:rsidR="00501934" w14:paraId="57B7D400" w14:textId="77777777" w:rsidTr="00501934">
        <w:tc>
          <w:tcPr>
            <w:tcW w:w="534" w:type="dxa"/>
          </w:tcPr>
          <w:p w14:paraId="12DBFC9C" w14:textId="16AD54A4" w:rsidR="00501934" w:rsidRDefault="00501934" w:rsidP="00501934">
            <w:pPr>
              <w:jc w:val="center"/>
              <w:rPr>
                <w:rFonts w:ascii="BNPP Sans Light" w:hAnsi="BNPP Sans Light"/>
                <w:lang w:val="nl-BE"/>
              </w:rPr>
            </w:pPr>
            <w:r>
              <w:rPr>
                <w:rFonts w:ascii="BNPP Sans Light" w:hAnsi="BNPP Sans Light"/>
                <w:lang w:val="nl-BE"/>
              </w:rPr>
              <w:t>5.</w:t>
            </w:r>
          </w:p>
        </w:tc>
        <w:tc>
          <w:tcPr>
            <w:tcW w:w="4536" w:type="dxa"/>
          </w:tcPr>
          <w:p w14:paraId="1C76B115" w14:textId="5EAA758F" w:rsidR="00501934" w:rsidRPr="00501934" w:rsidRDefault="00501934" w:rsidP="00EB5CD3">
            <w:pPr>
              <w:rPr>
                <w:rFonts w:ascii="BNPP Sans Light" w:hAnsi="BNPP Sans Light"/>
                <w:lang w:val="nl-BE"/>
              </w:rPr>
            </w:pPr>
            <w:r>
              <w:rPr>
                <w:rFonts w:ascii="BNPP Sans Light" w:hAnsi="BNPP Sans Light"/>
                <w:b/>
                <w:bCs/>
                <w:lang w:val="nl-BE"/>
              </w:rPr>
              <w:t xml:space="preserve">Italië </w:t>
            </w:r>
            <w:r>
              <w:rPr>
                <w:rFonts w:ascii="BNPP Sans Light" w:hAnsi="BNPP Sans Light"/>
                <w:lang w:val="nl-BE"/>
              </w:rPr>
              <w:t>(5%)</w:t>
            </w:r>
          </w:p>
        </w:tc>
        <w:tc>
          <w:tcPr>
            <w:tcW w:w="5274" w:type="dxa"/>
          </w:tcPr>
          <w:p w14:paraId="10744641" w14:textId="2FF76D8F" w:rsidR="00501934" w:rsidRPr="00501934" w:rsidRDefault="00501934" w:rsidP="00EB5CD3">
            <w:pPr>
              <w:rPr>
                <w:rFonts w:ascii="BNPP Sans Light" w:hAnsi="BNPP Sans Light"/>
                <w:lang w:val="nl-BE"/>
              </w:rPr>
            </w:pPr>
            <w:r>
              <w:rPr>
                <w:rFonts w:ascii="BNPP Sans Light" w:hAnsi="BNPP Sans Light"/>
                <w:b/>
                <w:bCs/>
                <w:lang w:val="nl-BE"/>
              </w:rPr>
              <w:t xml:space="preserve">Portugal </w:t>
            </w:r>
            <w:r>
              <w:rPr>
                <w:rFonts w:ascii="BNPP Sans Light" w:hAnsi="BNPP Sans Light"/>
                <w:lang w:val="nl-BE"/>
              </w:rPr>
              <w:t>(3%)</w:t>
            </w:r>
          </w:p>
        </w:tc>
      </w:tr>
    </w:tbl>
    <w:p w14:paraId="7A6D2980" w14:textId="77777777" w:rsidR="00501934" w:rsidRDefault="00501934" w:rsidP="00EB5CD3">
      <w:pPr>
        <w:rPr>
          <w:rFonts w:ascii="BNPP Sans Light" w:hAnsi="BNPP Sans Light"/>
          <w:lang w:val="nl-BE"/>
        </w:rPr>
      </w:pPr>
    </w:p>
    <w:p w14:paraId="5B001E9E" w14:textId="108BCC4B" w:rsidR="004C6E91" w:rsidRPr="004C6E91" w:rsidRDefault="004C6E91" w:rsidP="00EB5CD3">
      <w:pPr>
        <w:rPr>
          <w:rFonts w:ascii="BNPP Sans Light" w:hAnsi="BNPP Sans Light"/>
          <w:b/>
          <w:bCs/>
          <w:lang w:val="nl-BE"/>
        </w:rPr>
      </w:pPr>
      <w:r>
        <w:rPr>
          <w:rFonts w:ascii="BNPP Sans Light" w:hAnsi="BNPP Sans Light"/>
          <w:b/>
          <w:bCs/>
          <w:lang w:val="nl-BE"/>
        </w:rPr>
        <w:t>Evolutie in ontleende bedragen voor buitenlandse verblijven</w:t>
      </w:r>
    </w:p>
    <w:p w14:paraId="0FF8E83E" w14:textId="715813E5" w:rsidR="00501934" w:rsidRDefault="00501934" w:rsidP="00EB5CD3">
      <w:pPr>
        <w:rPr>
          <w:rFonts w:ascii="BNPP Sans Light" w:hAnsi="BNPP Sans Light"/>
          <w:lang w:val="nl-BE"/>
        </w:rPr>
      </w:pPr>
      <w:r>
        <w:rPr>
          <w:rFonts w:ascii="BNPP Sans Light" w:hAnsi="BNPP Sans Light"/>
          <w:lang w:val="nl-BE"/>
        </w:rPr>
        <w:t xml:space="preserve">Terwijl over de populairste </w:t>
      </w:r>
      <w:r w:rsidR="002D2F58">
        <w:rPr>
          <w:rFonts w:ascii="BNPP Sans Light" w:hAnsi="BNPP Sans Light"/>
          <w:lang w:val="nl-BE"/>
        </w:rPr>
        <w:t xml:space="preserve">buitenlandse </w:t>
      </w:r>
      <w:r>
        <w:rPr>
          <w:rFonts w:ascii="BNPP Sans Light" w:hAnsi="BNPP Sans Light"/>
          <w:lang w:val="nl-BE"/>
        </w:rPr>
        <w:t xml:space="preserve">bestemmingen in 2022 geen noemenswaardige verschillen te melden zijn ten opzichte van het jaar voordien, merkt BNP Paribas Fortis wel een duidelijk verschil in het gemiddeld ontleende bedrag voor bepaalde landen. Zo leende de BNP Paribas Fortis-klant gemiddeld 180.000 euro voor te verhuren panden in Nederland, terwijl dat in 2021 nog 269.000 euro was, een afname met </w:t>
      </w:r>
      <w:r w:rsidR="004F2517">
        <w:rPr>
          <w:rFonts w:ascii="BNPP Sans Light" w:hAnsi="BNPP Sans Light"/>
          <w:lang w:val="nl-BE"/>
        </w:rPr>
        <w:t xml:space="preserve">33%. Ook voor Franse te verhuren woningen stelt BNP Paribas Fortis een fikse daling in gemiddeld ontleend bedrag vast: van 301.000 euro naar 212.000 euro (-30%). </w:t>
      </w:r>
    </w:p>
    <w:p w14:paraId="5650A263" w14:textId="6E72878E" w:rsidR="004F2517" w:rsidRDefault="004F2517" w:rsidP="00EB5CD3">
      <w:pPr>
        <w:rPr>
          <w:rFonts w:ascii="BNPP Sans Light" w:hAnsi="BNPP Sans Light"/>
          <w:lang w:val="nl-BE"/>
        </w:rPr>
      </w:pPr>
    </w:p>
    <w:p w14:paraId="2AD8EDDB" w14:textId="380F6C7A" w:rsidR="00561094" w:rsidRDefault="004F2517" w:rsidP="00EB5CD3">
      <w:pPr>
        <w:rPr>
          <w:rFonts w:ascii="BNPP Sans Light" w:hAnsi="BNPP Sans Light"/>
          <w:lang w:val="nl-BE"/>
        </w:rPr>
      </w:pPr>
      <w:r>
        <w:rPr>
          <w:rFonts w:ascii="BNPP Sans Light" w:hAnsi="BNPP Sans Light"/>
          <w:lang w:val="nl-BE"/>
        </w:rPr>
        <w:t xml:space="preserve">Bij buitenlandse tweede woningen voor eigen gebruik ziet de bank dan weer enkele opvallende stijgingen in gemiddeld ontleend bedrag. Voor Nederland gaat dat van 282.000 euro in 2021 naar 316.000 euro in 2022 (+12%). Liefhebbers van Spaanse woningen leenden gemiddeld 155.000 euro in 2021 tegenover 174.000 euro in 2022 (+12%). </w:t>
      </w:r>
    </w:p>
    <w:p w14:paraId="6068EE56" w14:textId="77777777" w:rsidR="00561094" w:rsidRPr="0011673F" w:rsidRDefault="00561094" w:rsidP="00EB5CD3">
      <w:pPr>
        <w:rPr>
          <w:rFonts w:ascii="BNPP Sans Light" w:hAnsi="BNPP Sans Light"/>
          <w:lang w:val="nl-BE"/>
        </w:rPr>
      </w:pPr>
    </w:p>
    <w:p w14:paraId="6E284E6D" w14:textId="5B23DFF8" w:rsidR="00CF003E" w:rsidRPr="004B08B0" w:rsidRDefault="00703537" w:rsidP="00703537">
      <w:pPr>
        <w:jc w:val="center"/>
        <w:rPr>
          <w:rFonts w:ascii="BNPP Sans Light" w:hAnsi="BNPP Sans Light"/>
          <w:lang w:val="en-US"/>
        </w:rPr>
      </w:pPr>
      <w:r w:rsidRPr="004B08B0">
        <w:rPr>
          <w:rFonts w:ascii="BNPP Sans Light" w:hAnsi="BNPP Sans Light"/>
          <w:lang w:val="en-US"/>
        </w:rPr>
        <w:t>---</w:t>
      </w:r>
    </w:p>
    <w:p w14:paraId="6AD20EEF" w14:textId="77777777" w:rsidR="00DE441B" w:rsidRPr="004B08B0" w:rsidRDefault="00DE441B" w:rsidP="00EB5CD3">
      <w:pPr>
        <w:rPr>
          <w:rFonts w:ascii="BNPP Sans" w:hAnsi="BNPP Sans"/>
          <w:lang w:val="en-US"/>
        </w:rPr>
      </w:pPr>
    </w:p>
    <w:p w14:paraId="1793D51F" w14:textId="77777777" w:rsidR="00DE441B" w:rsidRPr="004B08B0" w:rsidRDefault="00DE441B" w:rsidP="00EB5CD3">
      <w:pPr>
        <w:rPr>
          <w:rFonts w:ascii="BNPP Sans" w:hAnsi="BNPP Sans"/>
          <w:lang w:val="en-US"/>
        </w:rPr>
      </w:pPr>
    </w:p>
    <w:p w14:paraId="4E94324B" w14:textId="6F0CBFD6" w:rsidR="000C6576" w:rsidRPr="00530319" w:rsidRDefault="000C6576" w:rsidP="00EB5CD3">
      <w:pPr>
        <w:rPr>
          <w:rFonts w:ascii="BNPP Sans Light" w:hAnsi="BNPP Sans Light"/>
          <w:b/>
          <w:lang w:val="en-US"/>
        </w:rPr>
      </w:pPr>
      <w:proofErr w:type="spellStart"/>
      <w:r w:rsidRPr="00530319">
        <w:rPr>
          <w:rFonts w:ascii="BNPP Sans Light" w:hAnsi="BNPP Sans Light"/>
          <w:b/>
          <w:lang w:val="en-US"/>
        </w:rPr>
        <w:t>Perscontacten</w:t>
      </w:r>
      <w:proofErr w:type="spellEnd"/>
      <w:r w:rsidRPr="00530319">
        <w:rPr>
          <w:rFonts w:ascii="BNPP Sans Light" w:hAnsi="BNPP Sans Light"/>
          <w:b/>
          <w:lang w:val="en-US"/>
        </w:rPr>
        <w:t>:</w:t>
      </w:r>
    </w:p>
    <w:p w14:paraId="1D63D3AA" w14:textId="77777777" w:rsidR="00DE441B" w:rsidRPr="00530319" w:rsidRDefault="00DE441B" w:rsidP="00EB5CD3">
      <w:pPr>
        <w:rPr>
          <w:rFonts w:ascii="BNPP Sans Light" w:hAnsi="BNPP Sans Light"/>
          <w:b/>
          <w:lang w:val="en-US"/>
        </w:rPr>
      </w:pPr>
    </w:p>
    <w:p w14:paraId="18710CB1" w14:textId="42FA013F" w:rsidR="005E62F8" w:rsidRPr="00DE441B" w:rsidRDefault="005E62F8" w:rsidP="005E62F8">
      <w:pPr>
        <w:autoSpaceDE w:val="0"/>
        <w:autoSpaceDN w:val="0"/>
        <w:adjustRightInd w:val="0"/>
        <w:spacing w:line="240" w:lineRule="auto"/>
        <w:jc w:val="left"/>
        <w:rPr>
          <w:rFonts w:ascii="BNPP Sans Light" w:hAnsi="BNPP Sans Light" w:cs="Arial"/>
          <w:sz w:val="20"/>
          <w:lang w:val="en-GB"/>
        </w:rPr>
      </w:pPr>
      <w:r w:rsidRPr="00DE441B">
        <w:rPr>
          <w:rFonts w:ascii="BNPP Sans Light" w:hAnsi="BNPP Sans Light" w:cs="Calibri"/>
          <w:b/>
          <w:bCs/>
          <w:sz w:val="20"/>
          <w:lang w:val="en-GB"/>
        </w:rPr>
        <w:t>Hilde Junius</w:t>
      </w:r>
      <w:r w:rsidRPr="00DE441B">
        <w:rPr>
          <w:rFonts w:ascii="BNPP Sans Light" w:hAnsi="BNPP Sans Light" w:cs="Calibri"/>
          <w:sz w:val="20"/>
          <w:lang w:val="en-GB"/>
        </w:rPr>
        <w:t xml:space="preserve"> | Press Officer </w:t>
      </w:r>
      <w:r w:rsidRPr="00DE441B">
        <w:rPr>
          <w:rFonts w:ascii="BNPP Sans Light" w:hAnsi="BNPP Sans Light" w:cs="Calibri"/>
          <w:sz w:val="20"/>
          <w:lang w:val="en-GB"/>
        </w:rPr>
        <w:br/>
        <w:t xml:space="preserve">+32 </w:t>
      </w:r>
      <w:r w:rsidR="006E41C7">
        <w:rPr>
          <w:rFonts w:ascii="BNPP Sans Light" w:hAnsi="BNPP Sans Light" w:cs="Calibri"/>
          <w:sz w:val="20"/>
          <w:lang w:val="en-GB"/>
        </w:rPr>
        <w:t>(0)</w:t>
      </w:r>
      <w:r w:rsidRPr="00DE441B">
        <w:rPr>
          <w:rFonts w:ascii="BNPP Sans Light" w:hAnsi="BNPP Sans Light" w:cs="Calibri"/>
          <w:sz w:val="20"/>
          <w:lang w:val="en-GB"/>
        </w:rPr>
        <w:t>478 88 29 60</w:t>
      </w:r>
      <w:r w:rsidRPr="00DE441B">
        <w:rPr>
          <w:rFonts w:ascii="BNPP Sans Light" w:hAnsi="BNPP Sans Light" w:cs="Calibri"/>
          <w:sz w:val="20"/>
          <w:lang w:val="en-GB"/>
        </w:rPr>
        <w:br/>
      </w:r>
      <w:hyperlink r:id="rId7" w:history="1">
        <w:r w:rsidRPr="00DE441B">
          <w:rPr>
            <w:rFonts w:ascii="BNPP Sans Light" w:hAnsi="BNPP Sans Light" w:cs="Calibri"/>
            <w:color w:val="0000FF"/>
            <w:sz w:val="20"/>
            <w:u w:val="single"/>
            <w:lang w:val="en-GB"/>
          </w:rPr>
          <w:t>hilde.junius@bnpparibasfortis.com</w:t>
        </w:r>
      </w:hyperlink>
    </w:p>
    <w:p w14:paraId="44009CD2" w14:textId="77777777" w:rsidR="005E62F8" w:rsidRPr="00DE441B" w:rsidRDefault="005E62F8" w:rsidP="005E62F8">
      <w:pPr>
        <w:autoSpaceDE w:val="0"/>
        <w:autoSpaceDN w:val="0"/>
        <w:adjustRightInd w:val="0"/>
        <w:spacing w:line="240" w:lineRule="auto"/>
        <w:jc w:val="left"/>
        <w:rPr>
          <w:rFonts w:ascii="BNPP Sans Light" w:hAnsi="BNPP Sans Light" w:cs="Arial"/>
          <w:sz w:val="20"/>
          <w:lang w:val="en-GB"/>
        </w:rPr>
      </w:pPr>
    </w:p>
    <w:p w14:paraId="668CF8CE" w14:textId="05E7E63D" w:rsidR="005E62F8" w:rsidRPr="00DE441B" w:rsidRDefault="005E62F8" w:rsidP="005E62F8">
      <w:pPr>
        <w:autoSpaceDE w:val="0"/>
        <w:autoSpaceDN w:val="0"/>
        <w:adjustRightInd w:val="0"/>
        <w:spacing w:line="240" w:lineRule="auto"/>
        <w:jc w:val="left"/>
        <w:rPr>
          <w:rFonts w:ascii="BNPP Sans Light" w:hAnsi="BNPP Sans Light" w:cs="Calibri"/>
          <w:color w:val="0000FF"/>
          <w:sz w:val="20"/>
          <w:lang w:val="en-GB"/>
        </w:rPr>
      </w:pPr>
      <w:r w:rsidRPr="00DE441B">
        <w:rPr>
          <w:rFonts w:ascii="BNPP Sans Light" w:hAnsi="BNPP Sans Light" w:cs="Calibri"/>
          <w:b/>
          <w:bCs/>
          <w:sz w:val="20"/>
          <w:lang w:val="en-GB"/>
        </w:rPr>
        <w:t xml:space="preserve">Valéry Halloy </w:t>
      </w:r>
      <w:r w:rsidRPr="00DE441B">
        <w:rPr>
          <w:rFonts w:ascii="BNPP Sans Light" w:hAnsi="BNPP Sans Light" w:cs="Calibri"/>
          <w:sz w:val="20"/>
          <w:lang w:val="en-GB"/>
        </w:rPr>
        <w:t>| Press Officer</w:t>
      </w:r>
      <w:r w:rsidRPr="00DE441B">
        <w:rPr>
          <w:rFonts w:ascii="BNPP Sans Light" w:hAnsi="BNPP Sans Light" w:cs="Calibri"/>
          <w:sz w:val="20"/>
          <w:lang w:val="en-GB"/>
        </w:rPr>
        <w:br/>
        <w:t xml:space="preserve">+32 </w:t>
      </w:r>
      <w:r w:rsidR="006E41C7">
        <w:rPr>
          <w:rFonts w:ascii="BNPP Sans Light" w:hAnsi="BNPP Sans Light" w:cs="Calibri"/>
          <w:sz w:val="20"/>
          <w:lang w:val="en-GB"/>
        </w:rPr>
        <w:t>(0)</w:t>
      </w:r>
      <w:r w:rsidRPr="00DE441B">
        <w:rPr>
          <w:rFonts w:ascii="BNPP Sans Light" w:hAnsi="BNPP Sans Light" w:cs="Calibri"/>
          <w:sz w:val="20"/>
          <w:lang w:val="en-GB"/>
        </w:rPr>
        <w:t>475 78 80 97</w:t>
      </w:r>
      <w:r w:rsidRPr="00DE441B">
        <w:rPr>
          <w:rFonts w:ascii="BNPP Sans Light" w:hAnsi="BNPP Sans Light" w:cs="Calibri"/>
          <w:sz w:val="20"/>
          <w:lang w:val="en-GB"/>
        </w:rPr>
        <w:br/>
      </w:r>
      <w:r w:rsidRPr="00DE441B">
        <w:rPr>
          <w:rFonts w:ascii="BNPP Sans Light" w:hAnsi="BNPP Sans Light" w:cs="Calibri"/>
          <w:color w:val="0000FF"/>
          <w:sz w:val="20"/>
          <w:lang w:val="en-GB"/>
        </w:rPr>
        <w:t>valery.halloy@bnpparibasfortis.com</w:t>
      </w:r>
    </w:p>
    <w:p w14:paraId="4931F2D8" w14:textId="77777777" w:rsidR="005E62F8" w:rsidRPr="00DE441B" w:rsidRDefault="005E62F8" w:rsidP="005E62F8">
      <w:pPr>
        <w:autoSpaceDE w:val="0"/>
        <w:autoSpaceDN w:val="0"/>
        <w:adjustRightInd w:val="0"/>
        <w:spacing w:line="240" w:lineRule="auto"/>
        <w:jc w:val="left"/>
        <w:rPr>
          <w:rFonts w:ascii="BNPP Sans Light" w:hAnsi="BNPP Sans Light" w:cs="Arial"/>
          <w:sz w:val="20"/>
          <w:lang w:val="en-GB"/>
        </w:rPr>
      </w:pPr>
    </w:p>
    <w:p w14:paraId="29B35371" w14:textId="64C565C7" w:rsidR="005E62F8" w:rsidRPr="00530319" w:rsidRDefault="005E62F8" w:rsidP="005E62F8">
      <w:pPr>
        <w:autoSpaceDE w:val="0"/>
        <w:autoSpaceDN w:val="0"/>
        <w:adjustRightInd w:val="0"/>
        <w:spacing w:line="240" w:lineRule="auto"/>
        <w:jc w:val="left"/>
        <w:rPr>
          <w:rFonts w:ascii="BNPP Sans Light" w:hAnsi="BNPP Sans Light" w:cs="Arial"/>
          <w:sz w:val="20"/>
          <w:lang w:val="en-US"/>
        </w:rPr>
      </w:pPr>
      <w:r w:rsidRPr="00530319">
        <w:rPr>
          <w:rFonts w:ascii="BNPP Sans Light" w:hAnsi="BNPP Sans Light" w:cs="Calibri"/>
          <w:b/>
          <w:bCs/>
          <w:sz w:val="20"/>
          <w:lang w:val="en-US"/>
        </w:rPr>
        <w:t>Jeroen Petrus</w:t>
      </w:r>
      <w:r w:rsidRPr="00530319">
        <w:rPr>
          <w:rFonts w:ascii="BNPP Sans Light" w:hAnsi="BNPP Sans Light" w:cs="Arial"/>
          <w:b/>
          <w:bCs/>
          <w:sz w:val="20"/>
          <w:lang w:val="en-US"/>
        </w:rPr>
        <w:t xml:space="preserve"> </w:t>
      </w:r>
      <w:r w:rsidRPr="00530319">
        <w:rPr>
          <w:rFonts w:ascii="BNPP Sans Light" w:hAnsi="BNPP Sans Light" w:cs="Calibri"/>
          <w:sz w:val="20"/>
          <w:lang w:val="en-US"/>
        </w:rPr>
        <w:t>|</w:t>
      </w:r>
      <w:r w:rsidRPr="00530319">
        <w:rPr>
          <w:rFonts w:ascii="BNPP Sans Light" w:hAnsi="BNPP Sans Light" w:cs="Arial"/>
          <w:sz w:val="20"/>
          <w:lang w:val="en-US"/>
        </w:rPr>
        <w:t xml:space="preserve"> </w:t>
      </w:r>
      <w:r w:rsidRPr="00530319">
        <w:rPr>
          <w:rFonts w:ascii="BNPP Sans Light" w:hAnsi="BNPP Sans Light" w:cs="Calibri"/>
          <w:sz w:val="20"/>
          <w:lang w:val="en-US"/>
        </w:rPr>
        <w:t xml:space="preserve">Press Officer </w:t>
      </w:r>
    </w:p>
    <w:p w14:paraId="5F94E732" w14:textId="2C7876F2" w:rsidR="005E62F8" w:rsidRPr="00530319" w:rsidRDefault="005E62F8" w:rsidP="005E62F8">
      <w:pPr>
        <w:autoSpaceDE w:val="0"/>
        <w:autoSpaceDN w:val="0"/>
        <w:adjustRightInd w:val="0"/>
        <w:spacing w:line="240" w:lineRule="auto"/>
        <w:jc w:val="left"/>
        <w:rPr>
          <w:rFonts w:ascii="BNPP Sans Light" w:hAnsi="BNPP Sans Light" w:cs="Calibri"/>
          <w:sz w:val="20"/>
          <w:lang w:val="en-US"/>
        </w:rPr>
      </w:pPr>
      <w:r w:rsidRPr="00530319">
        <w:rPr>
          <w:rFonts w:ascii="BNPP Sans Light" w:hAnsi="BNPP Sans Light" w:cs="Calibri"/>
          <w:sz w:val="20"/>
          <w:lang w:val="en-US"/>
        </w:rPr>
        <w:t xml:space="preserve">+32 </w:t>
      </w:r>
      <w:r w:rsidR="006E41C7" w:rsidRPr="00530319">
        <w:rPr>
          <w:rFonts w:ascii="BNPP Sans Light" w:hAnsi="BNPP Sans Light" w:cs="Calibri"/>
          <w:sz w:val="20"/>
          <w:lang w:val="en-US"/>
        </w:rPr>
        <w:t>(0)</w:t>
      </w:r>
      <w:r w:rsidRPr="00530319">
        <w:rPr>
          <w:rFonts w:ascii="BNPP Sans Light" w:hAnsi="BNPP Sans Light" w:cs="Calibri"/>
          <w:sz w:val="20"/>
          <w:lang w:val="en-US"/>
        </w:rPr>
        <w:t>498 32 14 94</w:t>
      </w:r>
    </w:p>
    <w:p w14:paraId="6E765E80" w14:textId="77777777" w:rsidR="005E62F8" w:rsidRPr="00530319" w:rsidRDefault="00FC08EA" w:rsidP="005E62F8">
      <w:pPr>
        <w:autoSpaceDE w:val="0"/>
        <w:autoSpaceDN w:val="0"/>
        <w:adjustRightInd w:val="0"/>
        <w:spacing w:line="240" w:lineRule="auto"/>
        <w:jc w:val="left"/>
        <w:rPr>
          <w:rFonts w:ascii="BNPP Sans Light" w:hAnsi="BNPP Sans Light" w:cs="Arial"/>
          <w:sz w:val="20"/>
          <w:lang w:val="en-US"/>
        </w:rPr>
      </w:pPr>
      <w:hyperlink r:id="rId8" w:history="1">
        <w:r w:rsidR="005E62F8" w:rsidRPr="00530319">
          <w:rPr>
            <w:rFonts w:ascii="BNPP Sans Light" w:hAnsi="BNPP Sans Light" w:cs="Arial"/>
            <w:color w:val="0000FF"/>
            <w:sz w:val="20"/>
            <w:u w:val="single"/>
            <w:lang w:val="en-US"/>
          </w:rPr>
          <w:t>jeroen.petrus@bnpparibasfortis.com</w:t>
        </w:r>
      </w:hyperlink>
    </w:p>
    <w:p w14:paraId="2126A53E" w14:textId="77777777" w:rsidR="00CF003E" w:rsidRPr="00530319" w:rsidRDefault="00CF003E" w:rsidP="00CF003E">
      <w:pPr>
        <w:spacing w:line="276" w:lineRule="auto"/>
        <w:rPr>
          <w:rFonts w:ascii="BNPP Sans Light" w:hAnsi="BNPP Sans Light"/>
          <w:b/>
          <w:i/>
          <w:sz w:val="20"/>
          <w:lang w:val="en-US"/>
        </w:rPr>
      </w:pPr>
    </w:p>
    <w:p w14:paraId="63535D3A" w14:textId="77777777" w:rsidR="00CF003E" w:rsidRPr="00530319" w:rsidRDefault="00CF003E" w:rsidP="00CF003E">
      <w:pPr>
        <w:spacing w:line="276" w:lineRule="auto"/>
        <w:rPr>
          <w:rFonts w:ascii="BNPP Sans Light" w:hAnsi="BNPP Sans Light"/>
          <w:b/>
          <w:i/>
          <w:sz w:val="18"/>
          <w:szCs w:val="18"/>
          <w:lang w:val="en-US"/>
        </w:rPr>
      </w:pPr>
    </w:p>
    <w:p w14:paraId="79E5A0FC" w14:textId="4447A2C4" w:rsidR="001023C0" w:rsidRPr="006A2D2E" w:rsidRDefault="001023C0" w:rsidP="001023C0">
      <w:pPr>
        <w:pStyle w:val="NormalWeb"/>
        <w:spacing w:before="0" w:beforeAutospacing="0" w:after="0" w:afterAutospacing="0" w:line="276" w:lineRule="auto"/>
        <w:rPr>
          <w:rFonts w:ascii="BNPP Sans Light" w:eastAsia="Times New Roman" w:hAnsi="BNPP Sans Light"/>
          <w:i/>
          <w:iCs/>
          <w:sz w:val="18"/>
          <w:szCs w:val="18"/>
          <w:lang w:val="nl-BE" w:eastAsia="fr-FR"/>
        </w:rPr>
      </w:pPr>
      <w:bookmarkStart w:id="0" w:name="_Hlk59028561"/>
      <w:r w:rsidRPr="006A2D2E">
        <w:rPr>
          <w:rFonts w:ascii="BNPP Sans Light" w:eastAsia="Times New Roman" w:hAnsi="BNPP Sans Light"/>
          <w:b/>
          <w:i/>
          <w:sz w:val="18"/>
          <w:szCs w:val="18"/>
          <w:lang w:val="nl-BE" w:eastAsia="fr-FR"/>
        </w:rPr>
        <w:t xml:space="preserve">BNP Paribas Fortis </w:t>
      </w:r>
      <w:r w:rsidRPr="006A2D2E">
        <w:rPr>
          <w:rFonts w:ascii="BNPP Sans Light" w:eastAsia="Times New Roman" w:hAnsi="BNPP Sans Light"/>
          <w:i/>
          <w:sz w:val="18"/>
          <w:szCs w:val="18"/>
          <w:lang w:val="nl-BE" w:eastAsia="fr-FR"/>
        </w:rPr>
        <w:t>(</w:t>
      </w:r>
      <w:hyperlink r:id="rId9" w:history="1">
        <w:r w:rsidRPr="006A2D2E">
          <w:rPr>
            <w:rStyle w:val="Hyperlink"/>
            <w:rFonts w:ascii="BNPP Sans Light" w:eastAsia="Times New Roman" w:hAnsi="BNPP Sans Light"/>
            <w:i/>
            <w:sz w:val="18"/>
            <w:szCs w:val="18"/>
            <w:lang w:val="nl-BE" w:eastAsia="fr-FR"/>
          </w:rPr>
          <w:t>www.bnpparibasfortis.com</w:t>
        </w:r>
      </w:hyperlink>
      <w:r w:rsidRPr="006A2D2E">
        <w:rPr>
          <w:rFonts w:ascii="BNPP Sans Light" w:eastAsia="Times New Roman" w:hAnsi="BNPP Sans Light"/>
          <w:i/>
          <w:sz w:val="18"/>
          <w:szCs w:val="18"/>
          <w:lang w:val="nl-BE" w:eastAsia="fr-FR"/>
        </w:rPr>
        <w:t>) biedt in België een totaalpakket van financiële diensten aan particulieren, zelfstandigen, beoefenaars van vrije beroepen, ondernemingen en publieke instellingen. Op het gebied van verzekeringen werkt BNP Paribas Fortis nauw samen, als verbonden agent, met AG Insurance, leader op de Belgische markt. De bank verstrekt</w:t>
      </w:r>
      <w:r w:rsidR="00B61D25">
        <w:rPr>
          <w:rFonts w:ascii="BNPP Sans Light" w:eastAsia="Times New Roman" w:hAnsi="BNPP Sans Light"/>
          <w:i/>
          <w:sz w:val="18"/>
          <w:szCs w:val="18"/>
          <w:lang w:val="nl-BE" w:eastAsia="fr-FR"/>
        </w:rPr>
        <w:t xml:space="preserve"> </w:t>
      </w:r>
      <w:r w:rsidRPr="006A2D2E">
        <w:rPr>
          <w:rFonts w:ascii="BNPP Sans Light" w:eastAsia="Times New Roman" w:hAnsi="BNPP Sans Light"/>
          <w:i/>
          <w:sz w:val="18"/>
          <w:szCs w:val="18"/>
          <w:lang w:val="nl-BE" w:eastAsia="fr-FR"/>
        </w:rPr>
        <w:t>internationaal ook maatoplossingen aan vermogende particulieren, grote ondernemingen en publieke en financiële organisaties. Daarbij maakt zij gebruik van de knowhow en het wereldwijde netwerk van BNP Paribas.</w:t>
      </w:r>
    </w:p>
    <w:p w14:paraId="795DDEA7" w14:textId="77777777" w:rsidR="001023C0" w:rsidRPr="006A2D2E" w:rsidRDefault="001023C0" w:rsidP="001023C0">
      <w:pPr>
        <w:spacing w:line="240" w:lineRule="auto"/>
        <w:rPr>
          <w:rFonts w:ascii="BNPP Sans Light" w:hAnsi="BNPP Sans Light"/>
          <w:i/>
          <w:sz w:val="18"/>
          <w:szCs w:val="18"/>
          <w:lang w:val="nl-BE"/>
        </w:rPr>
      </w:pPr>
    </w:p>
    <w:p w14:paraId="713A671D" w14:textId="47041618" w:rsidR="00CF003E" w:rsidRPr="00E205F4" w:rsidRDefault="001023C0" w:rsidP="004C6E91">
      <w:pPr>
        <w:spacing w:line="276" w:lineRule="auto"/>
        <w:jc w:val="left"/>
        <w:rPr>
          <w:rFonts w:ascii="BNPP Sans Light" w:eastAsia="Times New Roman" w:hAnsi="BNPP Sans Light"/>
          <w:i/>
          <w:sz w:val="18"/>
          <w:szCs w:val="18"/>
          <w:lang w:val="nl-BE" w:eastAsia="fr-FR"/>
        </w:rPr>
      </w:pPr>
      <w:r w:rsidRPr="001C68B5">
        <w:rPr>
          <w:rFonts w:ascii="BNPP Sans Light" w:hAnsi="BNPP Sans Light"/>
          <w:b/>
          <w:i/>
          <w:sz w:val="18"/>
          <w:szCs w:val="18"/>
          <w:lang w:val="nl-BE"/>
        </w:rPr>
        <w:t>BNP Paribas (</w:t>
      </w:r>
      <w:hyperlink r:id="rId10" w:history="1">
        <w:r w:rsidRPr="001C68B5">
          <w:rPr>
            <w:rStyle w:val="Hyperlink"/>
            <w:rFonts w:ascii="BNPP Sans Light" w:hAnsi="BNPP Sans Light"/>
            <w:i/>
            <w:sz w:val="18"/>
            <w:szCs w:val="18"/>
            <w:lang w:val="nl-BE"/>
          </w:rPr>
          <w:t>www.bnpparibas.com</w:t>
        </w:r>
      </w:hyperlink>
      <w:r w:rsidRPr="00E205F4">
        <w:rPr>
          <w:rFonts w:ascii="BNPP Sans Light" w:eastAsia="Times New Roman" w:hAnsi="BNPP Sans Light"/>
          <w:i/>
          <w:sz w:val="18"/>
          <w:szCs w:val="18"/>
          <w:lang w:val="nl-BE" w:eastAsia="fr-FR"/>
        </w:rPr>
        <w:t xml:space="preserve">) </w:t>
      </w:r>
      <w:r w:rsidR="00E205F4" w:rsidRPr="00E205F4">
        <w:rPr>
          <w:rFonts w:ascii="BNPP Sans Light" w:eastAsia="Times New Roman" w:hAnsi="BNPP Sans Light"/>
          <w:i/>
          <w:sz w:val="18"/>
          <w:szCs w:val="18"/>
          <w:lang w:val="nl-BE" w:eastAsia="fr-FR"/>
        </w:rPr>
        <w:t xml:space="preserve">is de grootste bank van de Europese Unie en een belangrijke internationale bankspeler. De groep is actief in 68 landen en telt ruim 193.000 medewerkers, van wie meer dan 148.000 in Europa. Ze bekleedt sleutelposities in haar drie kernactiviteiten: Retail Banking, met alle </w:t>
      </w:r>
      <w:proofErr w:type="spellStart"/>
      <w:r w:rsidR="00E205F4" w:rsidRPr="00E205F4">
        <w:rPr>
          <w:rFonts w:ascii="BNPP Sans Light" w:eastAsia="Times New Roman" w:hAnsi="BNPP Sans Light"/>
          <w:i/>
          <w:sz w:val="18"/>
          <w:szCs w:val="18"/>
          <w:lang w:val="nl-BE" w:eastAsia="fr-FR"/>
        </w:rPr>
        <w:t>retailbankingnetwerken</w:t>
      </w:r>
      <w:proofErr w:type="spellEnd"/>
      <w:r w:rsidR="00E205F4" w:rsidRPr="00E205F4">
        <w:rPr>
          <w:rFonts w:ascii="BNPP Sans Light" w:eastAsia="Times New Roman" w:hAnsi="BNPP Sans Light"/>
          <w:i/>
          <w:sz w:val="18"/>
          <w:szCs w:val="18"/>
          <w:lang w:val="nl-BE" w:eastAsia="fr-FR"/>
        </w:rPr>
        <w:t xml:space="preserve"> van de groep en een aantal gespecialiseerde metiers, </w:t>
      </w:r>
      <w:r w:rsidR="00E205F4" w:rsidRPr="00E205F4">
        <w:rPr>
          <w:rFonts w:ascii="BNPP Sans Light" w:eastAsia="Times New Roman" w:hAnsi="BNPP Sans Light"/>
          <w:i/>
          <w:sz w:val="18"/>
          <w:szCs w:val="18"/>
          <w:lang w:val="nl-BE" w:eastAsia="fr-FR"/>
        </w:rPr>
        <w:lastRenderedPageBreak/>
        <w:t xml:space="preserve">zoals BNP Paribas Personal Finance en </w:t>
      </w:r>
      <w:proofErr w:type="spellStart"/>
      <w:r w:rsidR="00E205F4" w:rsidRPr="00E205F4">
        <w:rPr>
          <w:rFonts w:ascii="BNPP Sans Light" w:eastAsia="Times New Roman" w:hAnsi="BNPP Sans Light"/>
          <w:i/>
          <w:sz w:val="18"/>
          <w:szCs w:val="18"/>
          <w:lang w:val="nl-BE" w:eastAsia="fr-FR"/>
        </w:rPr>
        <w:t>Arval</w:t>
      </w:r>
      <w:proofErr w:type="spellEnd"/>
      <w:r w:rsidR="00E205F4" w:rsidRPr="00E205F4">
        <w:rPr>
          <w:rFonts w:ascii="BNPP Sans Light" w:eastAsia="Times New Roman" w:hAnsi="BNPP Sans Light"/>
          <w:i/>
          <w:sz w:val="18"/>
          <w:szCs w:val="18"/>
          <w:lang w:val="nl-BE" w:eastAsia="fr-FR"/>
        </w:rPr>
        <w:t xml:space="preserve">; Investment &amp; </w:t>
      </w:r>
      <w:proofErr w:type="spellStart"/>
      <w:r w:rsidR="00E205F4" w:rsidRPr="00E205F4">
        <w:rPr>
          <w:rFonts w:ascii="BNPP Sans Light" w:eastAsia="Times New Roman" w:hAnsi="BNPP Sans Light"/>
          <w:i/>
          <w:sz w:val="18"/>
          <w:szCs w:val="18"/>
          <w:lang w:val="nl-BE" w:eastAsia="fr-FR"/>
        </w:rPr>
        <w:t>Protection</w:t>
      </w:r>
      <w:proofErr w:type="spellEnd"/>
      <w:r w:rsidR="00E205F4" w:rsidRPr="00E205F4">
        <w:rPr>
          <w:rFonts w:ascii="BNPP Sans Light" w:eastAsia="Times New Roman" w:hAnsi="BNPP Sans Light"/>
          <w:i/>
          <w:sz w:val="18"/>
          <w:szCs w:val="18"/>
          <w:lang w:val="nl-BE" w:eastAsia="fr-FR"/>
        </w:rPr>
        <w:t xml:space="preserve"> Services, met de spaar-, beleggings- en verzekeringsoplossingen van de groep; en Corporate &amp; </w:t>
      </w:r>
      <w:proofErr w:type="spellStart"/>
      <w:r w:rsidR="00E205F4" w:rsidRPr="00E205F4">
        <w:rPr>
          <w:rFonts w:ascii="BNPP Sans Light" w:eastAsia="Times New Roman" w:hAnsi="BNPP Sans Light"/>
          <w:i/>
          <w:sz w:val="18"/>
          <w:szCs w:val="18"/>
          <w:lang w:val="nl-BE" w:eastAsia="fr-FR"/>
        </w:rPr>
        <w:t>Institutional</w:t>
      </w:r>
      <w:proofErr w:type="spellEnd"/>
      <w:r w:rsidR="00E205F4" w:rsidRPr="00E205F4">
        <w:rPr>
          <w:rFonts w:ascii="BNPP Sans Light" w:eastAsia="Times New Roman" w:hAnsi="BNPP Sans Light"/>
          <w:i/>
          <w:sz w:val="18"/>
          <w:szCs w:val="18"/>
          <w:lang w:val="nl-BE" w:eastAsia="fr-FR"/>
        </w:rPr>
        <w:t xml:space="preserve"> Banking, dat zich op bedrijfsklanten en institutionele klanten toelegt. Op basis van zijn gediversifieerde en geïntegreerde model helpt BNP Paribas al zijn klanten (particulieren, verenigingen, ondernemers, kmo</w:t>
      </w:r>
      <w:r w:rsidR="00E205F4" w:rsidRPr="00E205F4">
        <w:rPr>
          <w:rFonts w:ascii="BNPP Sans Light" w:eastAsia="Times New Roman" w:hAnsi="BNPP Sans Light"/>
          <w:i/>
          <w:sz w:val="18"/>
          <w:szCs w:val="18"/>
          <w:rtl/>
          <w:lang w:val="nl-BE" w:eastAsia="fr-FR"/>
        </w:rPr>
        <w:t>’</w:t>
      </w:r>
      <w:r w:rsidR="00E205F4" w:rsidRPr="00E205F4">
        <w:rPr>
          <w:rFonts w:ascii="BNPP Sans Light" w:eastAsia="Times New Roman" w:hAnsi="BNPP Sans Light"/>
          <w:i/>
          <w:sz w:val="18"/>
          <w:szCs w:val="18"/>
          <w:lang w:val="nl-BE" w:eastAsia="fr-FR"/>
        </w:rPr>
        <w:t xml:space="preserve">s, grote bedrijven en institutionele klanten) met financierings-, beleggings-, spaar- en verzekeringsoplossingen om hun projecten te realiseren. De groep heeft vier thuismarkten in Europa (België, Frankrijk, Italië en Luxemburg) en ontplooit haar geïntegreerde </w:t>
      </w:r>
      <w:proofErr w:type="spellStart"/>
      <w:r w:rsidR="00E205F4" w:rsidRPr="00E205F4">
        <w:rPr>
          <w:rFonts w:ascii="BNPP Sans Light" w:eastAsia="Times New Roman" w:hAnsi="BNPP Sans Light"/>
          <w:i/>
          <w:sz w:val="18"/>
          <w:szCs w:val="18"/>
          <w:lang w:val="nl-BE" w:eastAsia="fr-FR"/>
        </w:rPr>
        <w:t>retailbankingmodel</w:t>
      </w:r>
      <w:proofErr w:type="spellEnd"/>
      <w:r w:rsidR="00E205F4" w:rsidRPr="00E205F4">
        <w:rPr>
          <w:rFonts w:ascii="BNPP Sans Light" w:eastAsia="Times New Roman" w:hAnsi="BNPP Sans Light"/>
          <w:i/>
          <w:sz w:val="18"/>
          <w:szCs w:val="18"/>
          <w:lang w:val="nl-BE" w:eastAsia="fr-FR"/>
        </w:rPr>
        <w:t xml:space="preserve"> ook in het Middellandse Zeegebied, Turkije, Oost-Europa en het westen van de Verenigde Staten. Als vooraanstaande internationale bankspeler beschikt BNP Paribas over toonaangevende platformen en metiers in Europa, een sterke aanwezigheid in Noord- en Zuid-Amerika en solide en snelgroeiende activiteiten in Azië-Pacific.</w:t>
      </w:r>
      <w:r w:rsidR="00E205F4">
        <w:rPr>
          <w:rFonts w:ascii="BNPP Sans Light" w:eastAsia="Times New Roman" w:hAnsi="BNPP Sans Light"/>
          <w:i/>
          <w:sz w:val="18"/>
          <w:szCs w:val="18"/>
          <w:lang w:val="nl-BE" w:eastAsia="fr-FR"/>
        </w:rPr>
        <w:t xml:space="preserve"> </w:t>
      </w:r>
      <w:r w:rsidR="00E205F4" w:rsidRPr="00E205F4">
        <w:rPr>
          <w:rFonts w:ascii="BNPP Sans Light" w:eastAsia="Times New Roman" w:hAnsi="BNPP Sans Light"/>
          <w:i/>
          <w:sz w:val="18"/>
          <w:szCs w:val="18"/>
          <w:lang w:val="nl-BE" w:eastAsia="fr-FR"/>
        </w:rPr>
        <w:t>BNP Paribas hanteert in al zijn activiteiten een maatschappelijk verantwoorde en milieubewuste aanpak. Op die manier kan het meebouwen aan een duurzame toekomst en tegelijkertijd goede resultaten en de stabiliteit van de groep verzekeren.</w:t>
      </w:r>
      <w:bookmarkEnd w:id="0"/>
    </w:p>
    <w:sectPr w:rsidR="00CF003E" w:rsidRPr="00E205F4" w:rsidSect="00991878">
      <w:footerReference w:type="default" r:id="rId11"/>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B4B4" w14:textId="77777777" w:rsidR="008A4A33" w:rsidRDefault="008A4A33" w:rsidP="008C4C01">
      <w:r>
        <w:separator/>
      </w:r>
    </w:p>
  </w:endnote>
  <w:endnote w:type="continuationSeparator" w:id="0">
    <w:p w14:paraId="21F07A9C" w14:textId="77777777" w:rsidR="008A4A33" w:rsidRDefault="008A4A33"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auto"/>
    <w:pitch w:val="variable"/>
    <w:sig w:usb0="A00002AF" w:usb1="4000204A" w:usb2="00000000" w:usb3="00000000" w:csb0="0000009F" w:csb1="00000000"/>
  </w:font>
  <w:font w:name="BNPP Sans">
    <w:altName w:val="Calibri"/>
    <w:panose1 w:val="02000000000000000000"/>
    <w:charset w:val="00"/>
    <w:family w:val="auto"/>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9D0D" w14:textId="77777777" w:rsidR="00703537" w:rsidRDefault="00703537" w:rsidP="008C4C01">
    <w:pPr>
      <w:pStyle w:val="Footer"/>
    </w:pPr>
  </w:p>
  <w:p w14:paraId="08B10425" w14:textId="77777777" w:rsidR="00703537" w:rsidRDefault="00703537" w:rsidP="008C4C01">
    <w:pPr>
      <w:pStyle w:val="Footer"/>
    </w:pPr>
  </w:p>
  <w:p w14:paraId="0BEFE47A" w14:textId="64B4D735" w:rsidR="00161CB7" w:rsidRDefault="006A2D2E" w:rsidP="008C4C01">
    <w:pPr>
      <w:pStyle w:val="Footer"/>
    </w:pPr>
    <w:r>
      <w:rPr>
        <w:noProof/>
        <w:lang w:val="en-GB" w:eastAsia="en-GB"/>
      </w:rPr>
      <mc:AlternateContent>
        <mc:Choice Requires="wps">
          <w:drawing>
            <wp:anchor distT="0" distB="0" distL="114300" distR="114300" simplePos="0" relativeHeight="251658240" behindDoc="0" locked="0" layoutInCell="0" allowOverlap="1" wp14:anchorId="5558841F" wp14:editId="11BAA139">
              <wp:simplePos x="0" y="0"/>
              <wp:positionH relativeFrom="page">
                <wp:posOffset>0</wp:posOffset>
              </wp:positionH>
              <wp:positionV relativeFrom="page">
                <wp:posOffset>10227945</wp:posOffset>
              </wp:positionV>
              <wp:extent cx="7560310" cy="273050"/>
              <wp:effectExtent l="0" t="0" r="0" b="12700"/>
              <wp:wrapNone/>
              <wp:docPr id="2" name="MSIPCMca12471e9f7a63f298ae1be7"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0E78D" w14:textId="01DB41D2" w:rsidR="006A2D2E" w:rsidRPr="006A2D2E" w:rsidRDefault="006A2D2E" w:rsidP="006A2D2E">
                          <w:pPr>
                            <w:jc w:val="right"/>
                            <w:rPr>
                              <w:rFonts w:ascii="Calibri" w:hAnsi="Calibri" w:cs="Calibri"/>
                              <w:color w:val="0000FF"/>
                              <w:sz w:val="20"/>
                            </w:rPr>
                          </w:pPr>
                          <w:r w:rsidRPr="006A2D2E">
                            <w:rPr>
                              <w:rFonts w:ascii="Calibri" w:hAnsi="Calibri" w:cs="Calibri"/>
                              <w:color w:val="0000FF"/>
                              <w:sz w:val="20"/>
                            </w:rPr>
                            <w:t xml:space="preserve">Classification : </w:t>
                          </w:r>
                          <w:proofErr w:type="spellStart"/>
                          <w:r w:rsidRPr="006A2D2E">
                            <w:rPr>
                              <w:rFonts w:ascii="Calibri" w:hAnsi="Calibri" w:cs="Calibri"/>
                              <w:color w:val="0000FF"/>
                              <w:sz w:val="20"/>
                            </w:rPr>
                            <w:t>Internal</w:t>
                          </w:r>
                          <w:proofErr w:type="spellEnd"/>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5558841F" id="_x0000_t202" coordsize="21600,21600" o:spt="202" path="m,l,21600r21600,l21600,xe">
              <v:stroke joinstyle="miter"/>
              <v:path gradientshapeok="t" o:connecttype="rect"/>
            </v:shapetype>
            <v:shape id="MSIPCMca12471e9f7a63f298ae1be7"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" o:allowincell="f" filled="f" stroked="f" strokeweight=".5pt">
              <v:textbox inset="0,0,20pt,0">
                <w:txbxContent>
                  <w:p w14:paraId="2900E78D" w14:textId="01DB41D2" w:rsidR="006A2D2E" w:rsidRPr="006A2D2E" w:rsidRDefault="006A2D2E" w:rsidP="006A2D2E">
                    <w:pPr>
                      <w:jc w:val="right"/>
                      <w:rPr>
                        <w:rFonts w:ascii="Calibri" w:hAnsi="Calibri" w:cs="Calibri"/>
                        <w:color w:val="0000FF"/>
                        <w:sz w:val="20"/>
                      </w:rPr>
                    </w:pPr>
                    <w:r w:rsidRPr="006A2D2E">
                      <w:rPr>
                        <w:rFonts w:ascii="Calibri" w:hAnsi="Calibri" w:cs="Calibri"/>
                        <w:color w:val="0000FF"/>
                        <w:sz w:val="20"/>
                      </w:rPr>
                      <w:t xml:space="preserve">Classification : </w:t>
                    </w:r>
                    <w:proofErr w:type="spellStart"/>
                    <w:r w:rsidRPr="006A2D2E">
                      <w:rPr>
                        <w:rFonts w:ascii="Calibri" w:hAnsi="Calibri" w:cs="Calibri"/>
                        <w:color w:val="0000FF"/>
                        <w:sz w:val="20"/>
                      </w:rPr>
                      <w:t>Internal</w:t>
                    </w:r>
                    <w:proofErr w:type="spellEnd"/>
                  </w:p>
                </w:txbxContent>
              </v:textbox>
              <w10:wrap anchorx="page" anchory="page"/>
            </v:shape>
          </w:pict>
        </mc:Fallback>
      </mc:AlternateContent>
    </w:r>
    <w:r w:rsidR="001B0CDC">
      <w:rPr>
        <w:noProof/>
        <w:lang w:val="en-GB" w:eastAsia="en-GB"/>
      </w:rPr>
      <w:drawing>
        <wp:inline distT="0" distB="0" distL="0" distR="0" wp14:anchorId="6881C221" wp14:editId="550161A0">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r w:rsidR="009252D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EB09" w14:textId="77777777" w:rsidR="008A4A33" w:rsidRDefault="008A4A33" w:rsidP="008C4C01">
      <w:r>
        <w:separator/>
      </w:r>
    </w:p>
  </w:footnote>
  <w:footnote w:type="continuationSeparator" w:id="0">
    <w:p w14:paraId="0C0EC36E" w14:textId="77777777" w:rsidR="008A4A33" w:rsidRDefault="008A4A33" w:rsidP="008C4C01">
      <w:r>
        <w:continuationSeparator/>
      </w:r>
    </w:p>
  </w:footnote>
  <w:footnote w:id="1">
    <w:p w14:paraId="61CAE5C4" w14:textId="032BFEF7" w:rsidR="00102CBB" w:rsidRPr="00102CBB" w:rsidRDefault="00102CBB">
      <w:pPr>
        <w:pStyle w:val="FootnoteText"/>
        <w:rPr>
          <w:lang w:val="nl-BE"/>
        </w:rPr>
      </w:pPr>
      <w:r>
        <w:rPr>
          <w:rStyle w:val="FootnoteReference"/>
        </w:rPr>
        <w:footnoteRef/>
      </w:r>
      <w:r w:rsidRPr="00102CBB">
        <w:rPr>
          <w:lang w:val="nl-BE"/>
        </w:rPr>
        <w:t xml:space="preserve"> </w:t>
      </w:r>
      <w:r w:rsidRPr="00102CBB">
        <w:rPr>
          <w:rFonts w:ascii="BNPP Sans Light" w:hAnsi="BNPP Sans Light"/>
          <w:i/>
          <w:iCs/>
          <w:lang w:val="nl-BE"/>
        </w:rPr>
        <w:t>Bron: Aantal aangiftes van tweede verblijven – FOD Financiën en schatting van BNP Paribas Fortis</w:t>
      </w:r>
    </w:p>
  </w:footnote>
  <w:footnote w:id="2">
    <w:p w14:paraId="6B5D51DD" w14:textId="77777777" w:rsidR="004C6E91" w:rsidRPr="00703537" w:rsidRDefault="004C6E91" w:rsidP="004C6E91">
      <w:pPr>
        <w:pStyle w:val="FootnoteText"/>
        <w:rPr>
          <w:rFonts w:ascii="BNPP Sans Light" w:hAnsi="BNPP Sans Light"/>
          <w:i/>
          <w:iCs/>
          <w:lang w:val="nl-BE"/>
        </w:rPr>
      </w:pPr>
      <w:r>
        <w:rPr>
          <w:rStyle w:val="FootnoteReference"/>
        </w:rPr>
        <w:footnoteRef/>
      </w:r>
      <w:r w:rsidRPr="009630E5">
        <w:rPr>
          <w:lang w:val="nl-BE"/>
        </w:rPr>
        <w:t xml:space="preserve"> </w:t>
      </w:r>
      <w:r w:rsidRPr="00703537">
        <w:rPr>
          <w:rFonts w:ascii="BNPP Sans Light" w:hAnsi="BNPP Sans Light"/>
          <w:i/>
          <w:iCs/>
          <w:lang w:val="nl-BE"/>
        </w:rPr>
        <w:t>56 gemeenten die zich geheel of gedeeltelijk in de Ardennen bevinden</w:t>
      </w:r>
    </w:p>
  </w:footnote>
  <w:footnote w:id="3">
    <w:p w14:paraId="74F49478" w14:textId="01518521" w:rsidR="00C34B17" w:rsidRPr="00703537" w:rsidRDefault="00C34B17" w:rsidP="00F00A8F">
      <w:pPr>
        <w:pStyle w:val="FootnoteText"/>
        <w:jc w:val="left"/>
        <w:rPr>
          <w:rFonts w:ascii="BNPP Sans Light" w:hAnsi="BNPP Sans Light"/>
          <w:i/>
          <w:iCs/>
          <w:lang w:val="nl-BE"/>
        </w:rPr>
      </w:pPr>
      <w:r w:rsidRPr="00703537">
        <w:rPr>
          <w:rStyle w:val="FootnoteReference"/>
          <w:rFonts w:ascii="BNPP Sans Light" w:hAnsi="BNPP Sans Light"/>
          <w:i/>
          <w:iCs/>
        </w:rPr>
        <w:footnoteRef/>
      </w:r>
      <w:r w:rsidRPr="00703537">
        <w:rPr>
          <w:rFonts w:ascii="BNPP Sans Light" w:hAnsi="BNPP Sans Light"/>
          <w:i/>
          <w:iCs/>
          <w:lang w:val="nl-BE"/>
        </w:rPr>
        <w:t xml:space="preserve"> 10 kustgemeenten: Blankenberge</w:t>
      </w:r>
      <w:r w:rsidR="00F00A8F" w:rsidRPr="00703537">
        <w:rPr>
          <w:rFonts w:ascii="BNPP Sans Light" w:hAnsi="BNPP Sans Light"/>
          <w:i/>
          <w:iCs/>
          <w:lang w:val="nl-BE"/>
        </w:rPr>
        <w:t>,</w:t>
      </w:r>
      <w:r w:rsidRPr="00703537">
        <w:rPr>
          <w:rFonts w:ascii="BNPP Sans Light" w:hAnsi="BNPP Sans Light"/>
          <w:i/>
          <w:iCs/>
          <w:lang w:val="nl-BE"/>
        </w:rPr>
        <w:t xml:space="preserve"> Bredene</w:t>
      </w:r>
      <w:r w:rsidR="00F00A8F" w:rsidRPr="00703537">
        <w:rPr>
          <w:rFonts w:ascii="BNPP Sans Light" w:hAnsi="BNPP Sans Light"/>
          <w:i/>
          <w:iCs/>
          <w:lang w:val="nl-BE"/>
        </w:rPr>
        <w:t xml:space="preserve">, </w:t>
      </w:r>
      <w:r w:rsidRPr="00703537">
        <w:rPr>
          <w:rFonts w:ascii="BNPP Sans Light" w:hAnsi="BNPP Sans Light"/>
          <w:i/>
          <w:iCs/>
          <w:lang w:val="nl-BE"/>
        </w:rPr>
        <w:t>De</w:t>
      </w:r>
      <w:r w:rsidR="00F00A8F" w:rsidRPr="00703537">
        <w:rPr>
          <w:rFonts w:ascii="BNPP Sans Light" w:hAnsi="BNPP Sans Light"/>
          <w:i/>
          <w:iCs/>
          <w:lang w:val="nl-BE"/>
        </w:rPr>
        <w:t xml:space="preserve"> </w:t>
      </w:r>
      <w:r w:rsidRPr="00703537">
        <w:rPr>
          <w:rFonts w:ascii="BNPP Sans Light" w:hAnsi="BNPP Sans Light"/>
          <w:i/>
          <w:iCs/>
          <w:lang w:val="nl-BE"/>
        </w:rPr>
        <w:t>Haan</w:t>
      </w:r>
      <w:r w:rsidR="00F00A8F" w:rsidRPr="00703537">
        <w:rPr>
          <w:rFonts w:ascii="BNPP Sans Light" w:hAnsi="BNPP Sans Light"/>
          <w:i/>
          <w:iCs/>
          <w:lang w:val="nl-BE"/>
        </w:rPr>
        <w:t xml:space="preserve">, </w:t>
      </w:r>
      <w:r w:rsidRPr="00703537">
        <w:rPr>
          <w:rFonts w:ascii="BNPP Sans Light" w:hAnsi="BNPP Sans Light"/>
          <w:i/>
          <w:iCs/>
          <w:lang w:val="nl-BE"/>
        </w:rPr>
        <w:t>De Panne,</w:t>
      </w:r>
      <w:r w:rsidR="00F00A8F" w:rsidRPr="00703537">
        <w:rPr>
          <w:rFonts w:ascii="BNPP Sans Light" w:hAnsi="BNPP Sans Light"/>
          <w:i/>
          <w:iCs/>
          <w:lang w:val="nl-BE"/>
        </w:rPr>
        <w:t xml:space="preserve"> Knokke-Heist, </w:t>
      </w:r>
      <w:r w:rsidRPr="00703537">
        <w:rPr>
          <w:rFonts w:ascii="BNPP Sans Light" w:hAnsi="BNPP Sans Light"/>
          <w:i/>
          <w:iCs/>
          <w:lang w:val="nl-BE"/>
        </w:rPr>
        <w:t xml:space="preserve">Koksijde, </w:t>
      </w:r>
      <w:r w:rsidR="00F00A8F" w:rsidRPr="00703537">
        <w:rPr>
          <w:rFonts w:ascii="BNPP Sans Light" w:hAnsi="BNPP Sans Light"/>
          <w:i/>
          <w:iCs/>
          <w:lang w:val="nl-BE"/>
        </w:rPr>
        <w:t xml:space="preserve">Middelkerke, </w:t>
      </w:r>
      <w:r w:rsidRPr="00703537">
        <w:rPr>
          <w:rFonts w:ascii="BNPP Sans Light" w:hAnsi="BNPP Sans Light"/>
          <w:i/>
          <w:iCs/>
          <w:lang w:val="nl-BE"/>
        </w:rPr>
        <w:t>Nieuwpoort,</w:t>
      </w:r>
      <w:r w:rsidR="00F00A8F" w:rsidRPr="00703537">
        <w:rPr>
          <w:rFonts w:ascii="BNPP Sans Light" w:hAnsi="BNPP Sans Light"/>
          <w:i/>
          <w:iCs/>
          <w:lang w:val="nl-BE"/>
        </w:rPr>
        <w:t xml:space="preserve"> </w:t>
      </w:r>
      <w:r w:rsidRPr="00703537">
        <w:rPr>
          <w:rFonts w:ascii="BNPP Sans Light" w:hAnsi="BNPP Sans Light"/>
          <w:i/>
          <w:iCs/>
          <w:lang w:val="nl-BE"/>
        </w:rPr>
        <w:t>Oostende, Zeebrugge</w:t>
      </w:r>
    </w:p>
  </w:footnote>
  <w:footnote w:id="4">
    <w:p w14:paraId="4D4F92BD" w14:textId="6BB9DD63" w:rsidR="00B61D25" w:rsidRPr="00B61D25" w:rsidRDefault="00B61D25">
      <w:pPr>
        <w:pStyle w:val="FootnoteText"/>
        <w:rPr>
          <w:lang w:val="nl-BE"/>
        </w:rPr>
      </w:pPr>
      <w:r w:rsidRPr="00703537">
        <w:rPr>
          <w:rStyle w:val="FootnoteReference"/>
          <w:rFonts w:ascii="BNPP Sans Light" w:hAnsi="BNPP Sans Light"/>
          <w:i/>
          <w:iCs/>
        </w:rPr>
        <w:footnoteRef/>
      </w:r>
      <w:r w:rsidRPr="00703537">
        <w:rPr>
          <w:rFonts w:ascii="BNPP Sans Light" w:hAnsi="BNPP Sans Light"/>
          <w:i/>
          <w:iCs/>
          <w:lang w:val="nl-BE"/>
        </w:rPr>
        <w:t xml:space="preserve"> De 19 gemeenten van het Brusselse Hoofdstedelijke Gewest</w:t>
      </w:r>
      <w:r>
        <w:rPr>
          <w:lang w:val="nl-B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44F82"/>
    <w:rsid w:val="000529C9"/>
    <w:rsid w:val="0006620F"/>
    <w:rsid w:val="00071977"/>
    <w:rsid w:val="00081070"/>
    <w:rsid w:val="000B1178"/>
    <w:rsid w:val="000B5641"/>
    <w:rsid w:val="000C6576"/>
    <w:rsid w:val="001023C0"/>
    <w:rsid w:val="00102CBB"/>
    <w:rsid w:val="001042AB"/>
    <w:rsid w:val="0011673F"/>
    <w:rsid w:val="00117CDD"/>
    <w:rsid w:val="00161CB7"/>
    <w:rsid w:val="00190BD4"/>
    <w:rsid w:val="001B0CDC"/>
    <w:rsid w:val="001C68B5"/>
    <w:rsid w:val="001D1A44"/>
    <w:rsid w:val="00273C7A"/>
    <w:rsid w:val="00275DAC"/>
    <w:rsid w:val="002936EA"/>
    <w:rsid w:val="002B084D"/>
    <w:rsid w:val="002C15E8"/>
    <w:rsid w:val="002D2F58"/>
    <w:rsid w:val="003041A4"/>
    <w:rsid w:val="003075ED"/>
    <w:rsid w:val="00336245"/>
    <w:rsid w:val="00374ED7"/>
    <w:rsid w:val="00383AA0"/>
    <w:rsid w:val="003A1ACF"/>
    <w:rsid w:val="003B6FE8"/>
    <w:rsid w:val="003C07F2"/>
    <w:rsid w:val="0042340B"/>
    <w:rsid w:val="004459D7"/>
    <w:rsid w:val="0045188B"/>
    <w:rsid w:val="00474CC7"/>
    <w:rsid w:val="00495BDF"/>
    <w:rsid w:val="004B08B0"/>
    <w:rsid w:val="004C3082"/>
    <w:rsid w:val="004C3617"/>
    <w:rsid w:val="004C6E91"/>
    <w:rsid w:val="004F2517"/>
    <w:rsid w:val="00500A0B"/>
    <w:rsid w:val="00501934"/>
    <w:rsid w:val="0052771E"/>
    <w:rsid w:val="00530319"/>
    <w:rsid w:val="00561094"/>
    <w:rsid w:val="00595AAB"/>
    <w:rsid w:val="00597CC9"/>
    <w:rsid w:val="005E62F8"/>
    <w:rsid w:val="00624FE2"/>
    <w:rsid w:val="006818B4"/>
    <w:rsid w:val="0068462B"/>
    <w:rsid w:val="00686D90"/>
    <w:rsid w:val="00697AA7"/>
    <w:rsid w:val="006A2D2E"/>
    <w:rsid w:val="006E41C7"/>
    <w:rsid w:val="00703537"/>
    <w:rsid w:val="007131D6"/>
    <w:rsid w:val="00786F97"/>
    <w:rsid w:val="007B1901"/>
    <w:rsid w:val="007B4E8E"/>
    <w:rsid w:val="007B5F62"/>
    <w:rsid w:val="007B6615"/>
    <w:rsid w:val="007D12B7"/>
    <w:rsid w:val="007E099B"/>
    <w:rsid w:val="007F155B"/>
    <w:rsid w:val="0080226D"/>
    <w:rsid w:val="0082296B"/>
    <w:rsid w:val="008A4A33"/>
    <w:rsid w:val="008C4C01"/>
    <w:rsid w:val="009252DF"/>
    <w:rsid w:val="009630E5"/>
    <w:rsid w:val="00963D84"/>
    <w:rsid w:val="00975E90"/>
    <w:rsid w:val="00980C08"/>
    <w:rsid w:val="00991878"/>
    <w:rsid w:val="009D15A2"/>
    <w:rsid w:val="009E745A"/>
    <w:rsid w:val="00A5363D"/>
    <w:rsid w:val="00A654D0"/>
    <w:rsid w:val="00A92F86"/>
    <w:rsid w:val="00B138C5"/>
    <w:rsid w:val="00B202A9"/>
    <w:rsid w:val="00B61D25"/>
    <w:rsid w:val="00B842CD"/>
    <w:rsid w:val="00BD7BAA"/>
    <w:rsid w:val="00BF43CA"/>
    <w:rsid w:val="00C2722E"/>
    <w:rsid w:val="00C34B17"/>
    <w:rsid w:val="00C87B41"/>
    <w:rsid w:val="00CF003E"/>
    <w:rsid w:val="00CF3714"/>
    <w:rsid w:val="00CF5E37"/>
    <w:rsid w:val="00D061B6"/>
    <w:rsid w:val="00D07011"/>
    <w:rsid w:val="00D23022"/>
    <w:rsid w:val="00D54116"/>
    <w:rsid w:val="00DA5728"/>
    <w:rsid w:val="00DA7797"/>
    <w:rsid w:val="00DE3A49"/>
    <w:rsid w:val="00DE441B"/>
    <w:rsid w:val="00DF7B93"/>
    <w:rsid w:val="00E031F7"/>
    <w:rsid w:val="00E205F4"/>
    <w:rsid w:val="00E37B92"/>
    <w:rsid w:val="00E62C58"/>
    <w:rsid w:val="00E778DA"/>
    <w:rsid w:val="00E839E8"/>
    <w:rsid w:val="00EB5CD3"/>
    <w:rsid w:val="00ED0BE8"/>
    <w:rsid w:val="00ED2580"/>
    <w:rsid w:val="00F00A8F"/>
    <w:rsid w:val="00F21BD3"/>
    <w:rsid w:val="00F81694"/>
    <w:rsid w:val="00FA0A0B"/>
    <w:rsid w:val="00FB05F9"/>
    <w:rsid w:val="00FC08EA"/>
    <w:rsid w:val="00FD27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351C4090"/>
  <w15:docId w15:val="{E73A8778-FAF1-4D7A-836E-99A382C7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paragraph" w:styleId="NormalWeb">
    <w:name w:val="Normal (Web)"/>
    <w:basedOn w:val="Normal"/>
    <w:uiPriority w:val="99"/>
    <w:semiHidden/>
    <w:unhideWhenUsed/>
    <w:rsid w:val="002B084D"/>
    <w:pPr>
      <w:spacing w:before="100" w:beforeAutospacing="1" w:after="100" w:afterAutospacing="1" w:line="240" w:lineRule="auto"/>
      <w:jc w:val="left"/>
    </w:pPr>
    <w:rPr>
      <w:rFonts w:ascii="Times New Roman" w:hAnsi="Times New Roman"/>
      <w:szCs w:val="24"/>
      <w:lang w:val="en-GB" w:eastAsia="en-GB"/>
    </w:rPr>
  </w:style>
  <w:style w:type="character" w:styleId="Strong">
    <w:name w:val="Strong"/>
    <w:basedOn w:val="DefaultParagraphFont"/>
    <w:uiPriority w:val="22"/>
    <w:qFormat/>
    <w:rsid w:val="002B084D"/>
    <w:rPr>
      <w:b/>
      <w:bCs/>
    </w:rPr>
  </w:style>
  <w:style w:type="character" w:styleId="Emphasis">
    <w:name w:val="Emphasis"/>
    <w:basedOn w:val="DefaultParagraphFont"/>
    <w:uiPriority w:val="20"/>
    <w:qFormat/>
    <w:rsid w:val="002B084D"/>
    <w:rPr>
      <w:i/>
      <w:iCs/>
    </w:rPr>
  </w:style>
  <w:style w:type="paragraph" w:styleId="FootnoteText">
    <w:name w:val="footnote text"/>
    <w:basedOn w:val="Normal"/>
    <w:link w:val="FootnoteTextChar"/>
    <w:uiPriority w:val="99"/>
    <w:semiHidden/>
    <w:unhideWhenUsed/>
    <w:rsid w:val="00C34B17"/>
    <w:pPr>
      <w:spacing w:line="240" w:lineRule="auto"/>
    </w:pPr>
    <w:rPr>
      <w:sz w:val="20"/>
    </w:rPr>
  </w:style>
  <w:style w:type="character" w:customStyle="1" w:styleId="FootnoteTextChar">
    <w:name w:val="Footnote Text Char"/>
    <w:basedOn w:val="DefaultParagraphFont"/>
    <w:link w:val="FootnoteText"/>
    <w:uiPriority w:val="99"/>
    <w:semiHidden/>
    <w:rsid w:val="00C34B17"/>
    <w:rPr>
      <w:rFonts w:asciiTheme="minorHAnsi" w:hAnsiTheme="minorHAnsi"/>
    </w:rPr>
  </w:style>
  <w:style w:type="character" w:styleId="FootnoteReference">
    <w:name w:val="footnote reference"/>
    <w:basedOn w:val="DefaultParagraphFont"/>
    <w:uiPriority w:val="99"/>
    <w:semiHidden/>
    <w:unhideWhenUsed/>
    <w:rsid w:val="00C34B17"/>
    <w:rPr>
      <w:vertAlign w:val="superscript"/>
    </w:rPr>
  </w:style>
  <w:style w:type="table" w:styleId="TableGrid">
    <w:name w:val="Table Grid"/>
    <w:basedOn w:val="TableNormal"/>
    <w:uiPriority w:val="59"/>
    <w:rsid w:val="0050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E91"/>
    <w:rPr>
      <w:sz w:val="16"/>
      <w:szCs w:val="16"/>
    </w:rPr>
  </w:style>
  <w:style w:type="paragraph" w:styleId="CommentText">
    <w:name w:val="annotation text"/>
    <w:basedOn w:val="Normal"/>
    <w:link w:val="CommentTextChar"/>
    <w:uiPriority w:val="99"/>
    <w:semiHidden/>
    <w:unhideWhenUsed/>
    <w:rsid w:val="004C6E91"/>
    <w:pPr>
      <w:spacing w:line="240" w:lineRule="auto"/>
    </w:pPr>
    <w:rPr>
      <w:sz w:val="20"/>
    </w:rPr>
  </w:style>
  <w:style w:type="character" w:customStyle="1" w:styleId="CommentTextChar">
    <w:name w:val="Comment Text Char"/>
    <w:basedOn w:val="DefaultParagraphFont"/>
    <w:link w:val="CommentText"/>
    <w:uiPriority w:val="99"/>
    <w:semiHidden/>
    <w:rsid w:val="004C6E9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C6E91"/>
    <w:rPr>
      <w:b/>
      <w:bCs/>
    </w:rPr>
  </w:style>
  <w:style w:type="character" w:customStyle="1" w:styleId="CommentSubjectChar">
    <w:name w:val="Comment Subject Char"/>
    <w:basedOn w:val="CommentTextChar"/>
    <w:link w:val="CommentSubject"/>
    <w:uiPriority w:val="99"/>
    <w:semiHidden/>
    <w:rsid w:val="004C6E91"/>
    <w:rPr>
      <w:rFonts w:asciiTheme="minorHAnsi" w:hAnsiTheme="minorHAnsi"/>
      <w:b/>
      <w:bCs/>
    </w:rPr>
  </w:style>
  <w:style w:type="paragraph" w:styleId="Revision">
    <w:name w:val="Revision"/>
    <w:hidden/>
    <w:uiPriority w:val="99"/>
    <w:semiHidden/>
    <w:rsid w:val="004C6E91"/>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6280">
      <w:bodyDiv w:val="1"/>
      <w:marLeft w:val="0"/>
      <w:marRight w:val="0"/>
      <w:marTop w:val="0"/>
      <w:marBottom w:val="0"/>
      <w:divBdr>
        <w:top w:val="none" w:sz="0" w:space="0" w:color="auto"/>
        <w:left w:val="none" w:sz="0" w:space="0" w:color="auto"/>
        <w:bottom w:val="none" w:sz="0" w:space="0" w:color="auto"/>
        <w:right w:val="none" w:sz="0" w:space="0" w:color="auto"/>
      </w:divBdr>
    </w:div>
    <w:div w:id="964697854">
      <w:bodyDiv w:val="1"/>
      <w:marLeft w:val="0"/>
      <w:marRight w:val="0"/>
      <w:marTop w:val="0"/>
      <w:marBottom w:val="0"/>
      <w:divBdr>
        <w:top w:val="none" w:sz="0" w:space="0" w:color="auto"/>
        <w:left w:val="none" w:sz="0" w:space="0" w:color="auto"/>
        <w:bottom w:val="none" w:sz="0" w:space="0" w:color="auto"/>
        <w:right w:val="none" w:sz="0" w:space="0" w:color="auto"/>
      </w:divBdr>
    </w:div>
    <w:div w:id="12055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oen.petrus@bnpparibasforti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lde.junius@bnpparibasforti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npparibas.com" TargetMode="External"/><Relationship Id="rId4" Type="http://schemas.openxmlformats.org/officeDocument/2006/relationships/webSettings" Target="webSettings.xml"/><Relationship Id="rId9" Type="http://schemas.openxmlformats.org/officeDocument/2006/relationships/hyperlink" Target="http://www.bnpparibasforti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AE64-0BB1-4448-BBE8-FDE8B897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4</Pages>
  <Words>1381</Words>
  <Characters>7599</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474863</dc:creator>
  <cp:lastModifiedBy>Halloy Valery</cp:lastModifiedBy>
  <cp:revision>10</cp:revision>
  <dcterms:created xsi:type="dcterms:W3CDTF">2023-06-27T06:47:00Z</dcterms:created>
  <dcterms:modified xsi:type="dcterms:W3CDTF">2023-07-05T08:11:00Z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2022-01-31T09:01:38Z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f21731da-4c77-4346-8299-543add0ceca5</vt:lpwstr>
  </property>
  <property fmtid="{D5CDD505-2E9C-101B-9397-08002B2CF9AE}" pid="8" name="MSIP_Label_812e1ed0-4700-41e0-aec3-61ed249f3333_ContentBits">
    <vt:lpwstr>2</vt:lpwstr>
  </property>
</Properties>
</file>